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4443C9">
      <w:pPr>
        <w:tabs>
          <w:tab w:val="left" w:pos="2600"/>
        </w:tabs>
        <w:spacing w:before="156" w:beforeLines="50" w:after="156" w:afterLines="50"/>
        <w:jc w:val="center"/>
        <w:rPr>
          <w:rFonts w:ascii="仿宋" w:eastAsia="仿宋"/>
          <w:sz w:val="44"/>
        </w:rPr>
      </w:pPr>
      <w:r>
        <w:rPr>
          <w:rFonts w:hint="eastAsia" w:eastAsia="黑体"/>
          <w:sz w:val="44"/>
        </w:rPr>
        <w:t>招标公告</w:t>
      </w:r>
    </w:p>
    <w:p w14:paraId="0D57A957">
      <w:pPr>
        <w:keepNext w:val="0"/>
        <w:keepLines w:val="0"/>
        <w:pageBreakBefore w:val="0"/>
        <w:widowControl w:val="0"/>
        <w:kinsoku/>
        <w:wordWrap/>
        <w:overflowPunct/>
        <w:topLinePunct w:val="0"/>
        <w:autoSpaceDE/>
        <w:autoSpaceDN/>
        <w:bidi w:val="0"/>
        <w:adjustRightInd/>
        <w:snapToGrid/>
        <w:ind w:left="0" w:right="0" w:firstLine="560" w:firstLineChars="200"/>
        <w:jc w:val="left"/>
        <w:textAlignment w:val="auto"/>
        <w:rPr>
          <w:rFonts w:ascii="仿宋_GB2312" w:hAnsi="仿宋_GB2312" w:eastAsia="仿宋_GB2312" w:cs="仿宋_GB2312"/>
          <w:sz w:val="24"/>
          <w:szCs w:val="24"/>
        </w:rPr>
      </w:pPr>
      <w:r>
        <w:rPr>
          <w:rFonts w:hint="eastAsia" w:ascii="仿宋_GB2312" w:hAnsi="仿宋_GB2312" w:eastAsia="仿宋_GB2312" w:cs="仿宋_GB2312"/>
          <w:sz w:val="28"/>
          <w:szCs w:val="28"/>
        </w:rPr>
        <w:t>根据《中华人民共和国招投标法》等法律、法规的规定，现就</w:t>
      </w:r>
      <w:r>
        <w:rPr>
          <w:rFonts w:hint="eastAsia" w:ascii="仿宋_GB2312" w:hAnsi="仿宋_GB2312" w:eastAsia="仿宋_GB2312" w:cs="仿宋_GB2312"/>
          <w:sz w:val="28"/>
          <w:szCs w:val="28"/>
          <w:u w:val="single"/>
          <w:lang w:val="zh-TW"/>
        </w:rPr>
        <w:t>江苏省盐城技师学院</w:t>
      </w:r>
      <w:r>
        <w:rPr>
          <w:rFonts w:hint="eastAsia" w:ascii="仿宋_GB2312" w:hAnsi="仿宋_GB2312" w:eastAsia="仿宋_GB2312" w:cs="仿宋_GB2312"/>
          <w:sz w:val="28"/>
          <w:szCs w:val="28"/>
          <w:u w:val="single"/>
          <w:lang w:val="en-US" w:eastAsia="zh-CN"/>
        </w:rPr>
        <w:t>建筑装饰项目设备</w:t>
      </w:r>
      <w:r>
        <w:rPr>
          <w:rFonts w:hint="eastAsia" w:ascii="仿宋_GB2312" w:hAnsi="仿宋_GB2312" w:eastAsia="仿宋_GB2312" w:cs="仿宋_GB2312"/>
          <w:sz w:val="28"/>
          <w:szCs w:val="28"/>
          <w:u w:val="single"/>
          <w:lang w:val="zh-TW"/>
        </w:rPr>
        <w:t>采购项目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采购，欢迎合格的潜在投标人参加投标。</w:t>
      </w:r>
    </w:p>
    <w:p w14:paraId="6F239E65">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一、招标项目</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0"/>
        <w:gridCol w:w="758"/>
        <w:gridCol w:w="4569"/>
        <w:gridCol w:w="487"/>
        <w:gridCol w:w="591"/>
        <w:gridCol w:w="731"/>
        <w:gridCol w:w="856"/>
      </w:tblGrid>
      <w:tr w14:paraId="43A33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tcPr>
          <w:p w14:paraId="3B31BB29">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序号</w:t>
            </w:r>
          </w:p>
        </w:tc>
        <w:tc>
          <w:tcPr>
            <w:tcW w:w="920" w:type="dxa"/>
          </w:tcPr>
          <w:p w14:paraId="7BFDD1DB">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设备名称</w:t>
            </w:r>
          </w:p>
        </w:tc>
        <w:tc>
          <w:tcPr>
            <w:tcW w:w="5400" w:type="dxa"/>
          </w:tcPr>
          <w:p w14:paraId="7D06CFA7">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参数</w:t>
            </w:r>
          </w:p>
        </w:tc>
        <w:tc>
          <w:tcPr>
            <w:tcW w:w="547" w:type="dxa"/>
          </w:tcPr>
          <w:p w14:paraId="571A6892">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单位</w:t>
            </w:r>
          </w:p>
        </w:tc>
        <w:tc>
          <w:tcPr>
            <w:tcW w:w="706" w:type="dxa"/>
          </w:tcPr>
          <w:p w14:paraId="6EA0E66F">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数量</w:t>
            </w:r>
          </w:p>
        </w:tc>
        <w:tc>
          <w:tcPr>
            <w:tcW w:w="920" w:type="dxa"/>
          </w:tcPr>
          <w:p w14:paraId="60CC64D9">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单价</w:t>
            </w:r>
          </w:p>
        </w:tc>
        <w:tc>
          <w:tcPr>
            <w:tcW w:w="1111" w:type="dxa"/>
          </w:tcPr>
          <w:p w14:paraId="59F09E44">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合计</w:t>
            </w:r>
          </w:p>
        </w:tc>
      </w:tr>
      <w:tr w14:paraId="79038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tcPr>
          <w:p w14:paraId="76EA1B4A">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hAnsi="Calibri" w:eastAsia="仿宋_GB2312" w:cs="仿宋_GB2312"/>
                <w:b w:val="0"/>
                <w:bCs w:val="0"/>
                <w:color w:val="000000"/>
                <w:kern w:val="2"/>
                <w:sz w:val="16"/>
                <w:szCs w:val="16"/>
                <w:vertAlign w:val="baseline"/>
                <w:lang w:val="en-US" w:eastAsia="zh-CN" w:bidi="ar-SA"/>
              </w:rPr>
            </w:pPr>
            <w:r>
              <w:rPr>
                <w:rFonts w:hint="eastAsia" w:ascii="仿宋_GB2312" w:eastAsia="仿宋_GB2312" w:cs="仿宋_GB2312"/>
                <w:b w:val="0"/>
                <w:bCs w:val="0"/>
                <w:color w:val="000000"/>
                <w:kern w:val="2"/>
                <w:sz w:val="16"/>
                <w:szCs w:val="16"/>
                <w:vertAlign w:val="baseline"/>
                <w:lang w:val="en-US" w:eastAsia="zh-CN" w:bidi="ar-SA"/>
              </w:rPr>
              <w:t>1</w:t>
            </w:r>
          </w:p>
        </w:tc>
        <w:tc>
          <w:tcPr>
            <w:tcW w:w="920" w:type="dxa"/>
          </w:tcPr>
          <w:p w14:paraId="0DE741DE">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装饰造价软件</w:t>
            </w:r>
          </w:p>
        </w:tc>
        <w:tc>
          <w:tcPr>
            <w:tcW w:w="5400" w:type="dxa"/>
          </w:tcPr>
          <w:p w14:paraId="27C78F3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1、应支持软件内置国家清单计量规范、定额计算规则及常用装饰施工做法，能够同时计算装饰工程量；</w:t>
            </w:r>
          </w:p>
          <w:p w14:paraId="56621638">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2、应支持无需汇总计算即可查看构件工程量，以及对应构件工程量的具体计算公式；</w:t>
            </w:r>
          </w:p>
          <w:p w14:paraId="0F09C414">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3、能够通过钢筋编辑、查看构件钢筋计算式等功能，查看钢筋三维构造图，查看模型三维扣减图；</w:t>
            </w:r>
          </w:p>
          <w:p w14:paraId="17476478">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4、在楼地面装饰工程计量与组价学习任务中，应包括构件认知、清单工程量编制、定额工程量计算、清单组价的学习；</w:t>
            </w:r>
          </w:p>
          <w:p w14:paraId="2333A3F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5、构造认知环节应包含构造节点认知与构造做法定位与查看对应的分项工程的施工方案与施工图纸；点击构造做法表应显示构件做法，点击做法跳转到对应模型位置并高亮显示；</w:t>
            </w:r>
          </w:p>
          <w:p w14:paraId="557B6973">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6、应支持楼梯面层学习过程中进行随堂测试，测试包括单选、填空等考核形式，考察清单列项知识点，积分和学习总得分随之变化；</w:t>
            </w:r>
          </w:p>
          <w:p w14:paraId="05574C5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7、应支持在楼梯面层计算规则学习任务，点击楼梯面层的清单工程量计算公式高亮处，则在场景中跳转至对应模型处，使学生对公式的理解更直观；</w:t>
            </w:r>
          </w:p>
          <w:p w14:paraId="4ADCDB93">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8、应支持在装饰工程计量计价实训场景中完成课程资源的备课，包括知识点的新增、删除、替换、命名，替换的资源来源于素材库，素材库资源类型包括图片、视频、全景图、模型库、集成模型等；</w:t>
            </w:r>
          </w:p>
          <w:p w14:paraId="15489707">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9、应支持楼梯面层建造任务完成后进行清单列项、楼梯清单工程量、定额工程量考核测试，测试完成后给出本次任务的最终得分,按照分数段给出一星、二星、三星；</w:t>
            </w:r>
          </w:p>
          <w:p w14:paraId="31C377A8">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10、应支持提供整体面层及找平层中消防水泵房构件的图纸显隐控制，确保图纸与模型1∶1对应；</w:t>
            </w:r>
          </w:p>
          <w:p w14:paraId="4BAFCEC7">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11、在楼地面装饰工程的整体面层及找平层的关卡学习中，应包含模型对应图纸、房屋建筑与装饰⼯程⼯程量计算规范、装饰工程消耗量定额、建筑工程消耗量定额、建设工程计价规程、施工方案知识点；</w:t>
            </w:r>
          </w:p>
          <w:p w14:paraId="34F36CF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12、应支持实时显示装饰工程计量计价中任务名称、任务积分、任务当前进度、任务总进度、总积分、总得分、倒计时，其中任务当前进度和任务总进度支持以血条的方式呈现；</w:t>
            </w:r>
          </w:p>
          <w:p w14:paraId="7840A963">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13、应支持学习整体面层及找平层清单工程量编制时，显示该应学习的知识点，当该知识点超过两种时，能看到其他知识点类型和知识点标题，如建筑图纸、房屋建筑与装饰工程工程量计算规则、工艺视频等不同知识点，点击各知识点将在软件界面内弹出知识点弹窗；应支持知识点组的折叠与展开，知识点组以图标的方式在视口中能够被拖拽。</w:t>
            </w:r>
          </w:p>
        </w:tc>
        <w:tc>
          <w:tcPr>
            <w:tcW w:w="547" w:type="dxa"/>
          </w:tcPr>
          <w:p w14:paraId="1ABEC43B">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台</w:t>
            </w:r>
          </w:p>
        </w:tc>
        <w:tc>
          <w:tcPr>
            <w:tcW w:w="706" w:type="dxa"/>
          </w:tcPr>
          <w:p w14:paraId="07B1AFEA">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30</w:t>
            </w:r>
          </w:p>
        </w:tc>
        <w:tc>
          <w:tcPr>
            <w:tcW w:w="920" w:type="dxa"/>
          </w:tcPr>
          <w:p w14:paraId="40F84A16">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p>
        </w:tc>
        <w:tc>
          <w:tcPr>
            <w:tcW w:w="1111" w:type="dxa"/>
          </w:tcPr>
          <w:p w14:paraId="60C9A5A0">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p>
        </w:tc>
      </w:tr>
      <w:tr w14:paraId="00914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tcPr>
          <w:p w14:paraId="715E8E7C">
            <w:pPr>
              <w:spacing w:line="560" w:lineRule="exact"/>
              <w:rPr>
                <w:rFonts w:hint="default" w:ascii="仿宋_GB2312" w:hAnsi="Calibri" w:eastAsia="仿宋_GB2312" w:cs="仿宋_GB2312"/>
                <w:b/>
                <w:bCs/>
                <w:color w:val="000000"/>
                <w:kern w:val="2"/>
                <w:sz w:val="18"/>
                <w:szCs w:val="18"/>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2</w:t>
            </w:r>
          </w:p>
        </w:tc>
        <w:tc>
          <w:tcPr>
            <w:tcW w:w="920" w:type="dxa"/>
          </w:tcPr>
          <w:p w14:paraId="0AE41927">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装饰AR制作台</w:t>
            </w:r>
          </w:p>
        </w:tc>
        <w:tc>
          <w:tcPr>
            <w:tcW w:w="5400" w:type="dxa"/>
          </w:tcPr>
          <w:p w14:paraId="00873727">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★1、装饰AR制作台应支持AR中基于Marker播放视频并进行视频进度控制、播放背景音乐、播放粒子特效</w:t>
            </w:r>
            <w:r>
              <w:rPr>
                <w:rFonts w:hint="eastAsia" w:ascii="仿宋_GB2312" w:eastAsia="仿宋_GB2312" w:cs="仿宋_GB2312"/>
                <w:b w:val="0"/>
                <w:bCs w:val="0"/>
                <w:color w:val="000000"/>
                <w:kern w:val="2"/>
                <w:sz w:val="16"/>
                <w:szCs w:val="16"/>
                <w:vertAlign w:val="baseline"/>
                <w:lang w:val="en-US" w:eastAsia="zh-CN" w:bidi="ar-SA"/>
              </w:rPr>
              <w:t>，为避免知识产权纠纷，须有自主知识产权证书，并提供证明文件</w:t>
            </w:r>
            <w:r>
              <w:rPr>
                <w:rFonts w:hint="eastAsia" w:ascii="仿宋_GB2312" w:hAnsi="Calibri" w:eastAsia="仿宋_GB2312" w:cs="仿宋_GB2312"/>
                <w:b w:val="0"/>
                <w:bCs w:val="0"/>
                <w:color w:val="000000"/>
                <w:kern w:val="2"/>
                <w:sz w:val="16"/>
                <w:szCs w:val="16"/>
                <w:vertAlign w:val="baseline"/>
                <w:lang w:val="en-US" w:eastAsia="zh-CN" w:bidi="ar-SA"/>
              </w:rPr>
              <w:t>；</w:t>
            </w:r>
          </w:p>
          <w:p w14:paraId="59C0FE7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2、装饰AR制作台应支持AR交互操作屏中底图的缩放，为保证底图足够清楚，像素必须大于或等于6700*4320，且缩放后的底图仍能保证Marker正确定位场景；</w:t>
            </w:r>
          </w:p>
          <w:p w14:paraId="263D2572">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3、装饰AR制作台硬件系统应标配三个系统摩卡Marker。装饰AR制作台设备尺寸应大于：长*宽*高≥1100 * 770 * 890 mm，设备由上屏、下屏操作平台组成，下屏码卡操作，上屏联动；</w:t>
            </w:r>
          </w:p>
          <w:p w14:paraId="04881F37">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4、装饰AR制作台下屏操作台：整机尺寸不小于：1190 * 770 * 900 mm；操作平台水平表面采用LCD显示技术，并且具有手指触控功能；</w:t>
            </w:r>
          </w:p>
          <w:p w14:paraId="55708B62">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5、装饰AR制作台操作界面：应支持不低于32寸图像显示操作界面，应支持分辨率不低于：1024 x 768，至少支持10点触控操作，下屏设备应支持直径60mm图形码卡的识别；</w:t>
            </w:r>
          </w:p>
          <w:p w14:paraId="4B6F4E2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★6、装饰AR制作台内置的VR软件支持通过涂刷的方式进行地形编辑，可调整涂刷的范围，通过长按鼠标进行地形的持续抬升或降低；</w:t>
            </w:r>
          </w:p>
          <w:p w14:paraId="34C71C37">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7、装饰AR制作台装饰AR制作台支持通过关键帧的方式进行装饰施工工艺制作，实现构件的显示隐藏、位移、缩放，且关键帧能够删除和移动；</w:t>
            </w:r>
          </w:p>
          <w:p w14:paraId="3382F7C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8、VR制作软件支持Revit、Bentley、Rhinoce、Catia、Creo、SolidWorks、3Dmax、SketchUp、Tekla、ArchiCAD、NavisWorks等任意5款主流建模软件的模型导入，能够支持BIM模型和3D模型无缝导入VR设计平台，需兼容完整的模型、材质、贴图等内容，并提供模型导入前和导入后的场景画面截图，如Revit场景截图，及Revit场景导入VR平台后的模型截图，要求导入前和导入后的模型、材质、贴图均一致。软件截图须包括Revit、Bentley、Rhinoce、Catia、Creo、SolidWorks、3Dmax、SketchUp、Tekla、ArchiCAD、Navisworks等任意</w:t>
            </w:r>
            <w:r>
              <w:rPr>
                <w:rFonts w:hint="eastAsia" w:ascii="仿宋_GB2312" w:eastAsia="仿宋_GB2312" w:cs="仿宋_GB2312"/>
                <w:b w:val="0"/>
                <w:bCs w:val="0"/>
                <w:color w:val="000000"/>
                <w:kern w:val="2"/>
                <w:sz w:val="16"/>
                <w:szCs w:val="16"/>
                <w:vertAlign w:val="baseline"/>
                <w:lang w:val="en-US" w:eastAsia="zh-CN" w:bidi="ar-SA"/>
              </w:rPr>
              <w:t>5</w:t>
            </w:r>
            <w:r>
              <w:rPr>
                <w:rFonts w:hint="eastAsia" w:ascii="仿宋_GB2312" w:hAnsi="Calibri" w:eastAsia="仿宋_GB2312" w:cs="仿宋_GB2312"/>
                <w:b w:val="0"/>
                <w:bCs w:val="0"/>
                <w:color w:val="000000"/>
                <w:kern w:val="2"/>
                <w:sz w:val="16"/>
                <w:szCs w:val="16"/>
                <w:vertAlign w:val="baseline"/>
                <w:lang w:val="en-US" w:eastAsia="zh-CN" w:bidi="ar-SA"/>
              </w:rPr>
              <w:t>款软件；</w:t>
            </w:r>
          </w:p>
          <w:p w14:paraId="211709E7">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★9、装饰AR制作台案例中直接加载、读取BIM信息数据的功能，所有砼构件至少应包含构件图元信息、构件名称、类别、混凝土类型、混凝土强度等级、标高信息、材质、截面高度和宽度等对应的属性信息</w:t>
            </w:r>
            <w:r>
              <w:rPr>
                <w:rFonts w:hint="eastAsia" w:ascii="仿宋_GB2312" w:eastAsia="仿宋_GB2312" w:cs="仿宋_GB2312"/>
                <w:b w:val="0"/>
                <w:bCs w:val="0"/>
                <w:color w:val="000000"/>
                <w:kern w:val="2"/>
                <w:sz w:val="16"/>
                <w:szCs w:val="16"/>
                <w:vertAlign w:val="baseline"/>
                <w:lang w:val="en-US" w:eastAsia="zh-CN" w:bidi="ar-SA"/>
              </w:rPr>
              <w:t>，并提供软件画面截图</w:t>
            </w:r>
            <w:r>
              <w:rPr>
                <w:rFonts w:hint="eastAsia" w:ascii="仿宋_GB2312" w:hAnsi="Calibri" w:eastAsia="仿宋_GB2312" w:cs="仿宋_GB2312"/>
                <w:b w:val="0"/>
                <w:bCs w:val="0"/>
                <w:color w:val="000000"/>
                <w:kern w:val="2"/>
                <w:sz w:val="16"/>
                <w:szCs w:val="16"/>
                <w:vertAlign w:val="baseline"/>
                <w:lang w:val="en-US" w:eastAsia="zh-CN" w:bidi="ar-SA"/>
              </w:rPr>
              <w:t>；</w:t>
            </w:r>
          </w:p>
          <w:p w14:paraId="2F5C10C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auto"/>
                <w:kern w:val="2"/>
                <w:sz w:val="16"/>
                <w:szCs w:val="16"/>
                <w:vertAlign w:val="baseline"/>
                <w:lang w:val="en-US" w:eastAsia="zh-CN" w:bidi="ar-SA"/>
              </w:rPr>
            </w:pPr>
            <w:r>
              <w:rPr>
                <w:rFonts w:hint="eastAsia" w:ascii="仿宋_GB2312" w:hAnsi="Calibri" w:eastAsia="仿宋_GB2312" w:cs="仿宋_GB2312"/>
                <w:b w:val="0"/>
                <w:bCs w:val="0"/>
                <w:color w:val="auto"/>
                <w:kern w:val="2"/>
                <w:sz w:val="16"/>
                <w:szCs w:val="16"/>
                <w:vertAlign w:val="baseline"/>
                <w:lang w:val="en-US" w:eastAsia="zh-CN" w:bidi="ar-SA"/>
              </w:rPr>
              <w:t>10、装饰AR制作台应具备专业VR场景编辑功能，如材质编辑功能、构件编辑功能、动画制作功能、交互区域自定义功能、灯光编辑功能等，以上所有编辑操作无需进行编程即可完成；</w:t>
            </w:r>
          </w:p>
          <w:p w14:paraId="1F312252">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auto"/>
                <w:kern w:val="2"/>
                <w:sz w:val="16"/>
                <w:szCs w:val="16"/>
                <w:vertAlign w:val="baseline"/>
                <w:lang w:val="en-US" w:eastAsia="zh-CN" w:bidi="ar-SA"/>
              </w:rPr>
              <w:t>★11、虚拟现实设计平台生成的全景图自动同步到BIM720</w:t>
            </w:r>
            <w:r>
              <w:rPr>
                <w:rFonts w:hint="eastAsia" w:ascii="仿宋_GB2312" w:hAnsi="Calibri" w:eastAsia="仿宋_GB2312" w:cs="仿宋_GB2312"/>
                <w:b w:val="0"/>
                <w:bCs w:val="0"/>
                <w:color w:val="000000"/>
                <w:kern w:val="2"/>
                <w:sz w:val="16"/>
                <w:szCs w:val="16"/>
                <w:vertAlign w:val="baseline"/>
                <w:lang w:val="en-US" w:eastAsia="zh-CN" w:bidi="ar-SA"/>
              </w:rPr>
              <w:t>云平台，在BIM720云平台可直接查看生成的全景图，BIM720云平台包含可视化编辑、背景音乐设置、语音解说设置、链接电话与导航、天空地面遮罩、开场提示、自定义邮件、自定义logo、自定义作者名、离线下载、密码访问等功能，可视化编辑中可进行语音、图文、视频热点编辑和沙盘小地图编辑，以及视频、图片贴片编辑</w:t>
            </w:r>
            <w:r>
              <w:rPr>
                <w:rFonts w:hint="eastAsia" w:ascii="仿宋_GB2312" w:eastAsia="仿宋_GB2312" w:cs="仿宋_GB2312"/>
                <w:b w:val="0"/>
                <w:bCs w:val="0"/>
                <w:color w:val="000000"/>
                <w:kern w:val="2"/>
                <w:sz w:val="16"/>
                <w:szCs w:val="16"/>
                <w:vertAlign w:val="baseline"/>
                <w:lang w:val="en-US" w:eastAsia="zh-CN" w:bidi="ar-SA"/>
              </w:rPr>
              <w:t>，提供视频演示和标书一并提交</w:t>
            </w:r>
            <w:r>
              <w:rPr>
                <w:rFonts w:hint="eastAsia" w:ascii="仿宋_GB2312" w:hAnsi="Calibri" w:eastAsia="仿宋_GB2312" w:cs="仿宋_GB2312"/>
                <w:b w:val="0"/>
                <w:bCs w:val="0"/>
                <w:color w:val="000000"/>
                <w:kern w:val="2"/>
                <w:sz w:val="16"/>
                <w:szCs w:val="16"/>
                <w:vertAlign w:val="baseline"/>
                <w:lang w:val="en-US" w:eastAsia="zh-CN" w:bidi="ar-SA"/>
              </w:rPr>
              <w:t>；</w:t>
            </w:r>
          </w:p>
          <w:p w14:paraId="2E0C00BF">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12、案例中点击显示BIM信息数据的功能，如构件计算公式和计算值、图元信息、类别、砼标号、砼类型、厚度、标高信息、汇总类型、材质、砂浆标号、砂浆类型、截面高度宽度等属性信息；点击场景内模型构件，即可弹出带有BIM信息对话框，通过手指触控调取构件的BIM信息</w:t>
            </w:r>
            <w:r>
              <w:rPr>
                <w:rFonts w:hint="eastAsia" w:ascii="仿宋_GB2312" w:eastAsia="仿宋_GB2312" w:cs="仿宋_GB2312"/>
                <w:b w:val="0"/>
                <w:bCs w:val="0"/>
                <w:color w:val="000000"/>
                <w:kern w:val="2"/>
                <w:sz w:val="16"/>
                <w:szCs w:val="16"/>
                <w:vertAlign w:val="baseline"/>
                <w:lang w:val="en-US" w:eastAsia="zh-CN" w:bidi="ar-SA"/>
              </w:rPr>
              <w:t>，并提供软件画面截图</w:t>
            </w:r>
            <w:r>
              <w:rPr>
                <w:rFonts w:hint="eastAsia" w:ascii="仿宋_GB2312" w:hAnsi="Calibri" w:eastAsia="仿宋_GB2312" w:cs="仿宋_GB2312"/>
                <w:b w:val="0"/>
                <w:bCs w:val="0"/>
                <w:color w:val="000000"/>
                <w:kern w:val="2"/>
                <w:sz w:val="16"/>
                <w:szCs w:val="16"/>
                <w:vertAlign w:val="baseline"/>
                <w:lang w:val="en-US" w:eastAsia="zh-CN" w:bidi="ar-SA"/>
              </w:rPr>
              <w:t>；</w:t>
            </w:r>
          </w:p>
          <w:p w14:paraId="64101B6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13、装饰AR制作台案例可直接查看钢筋筋号、级别、直径、钢筋计算公式、长度、数量、根数计算公式等BIM信息</w:t>
            </w:r>
            <w:r>
              <w:rPr>
                <w:rFonts w:hint="eastAsia" w:ascii="仿宋_GB2312" w:eastAsia="仿宋_GB2312" w:cs="仿宋_GB2312"/>
                <w:b w:val="0"/>
                <w:bCs w:val="0"/>
                <w:color w:val="000000"/>
                <w:kern w:val="2"/>
                <w:sz w:val="16"/>
                <w:szCs w:val="16"/>
                <w:vertAlign w:val="baseline"/>
                <w:lang w:val="en-US" w:eastAsia="zh-CN" w:bidi="ar-SA"/>
              </w:rPr>
              <w:t>，并提供软件画面截图</w:t>
            </w:r>
            <w:r>
              <w:rPr>
                <w:rFonts w:hint="eastAsia" w:ascii="仿宋_GB2312" w:hAnsi="Calibri" w:eastAsia="仿宋_GB2312" w:cs="仿宋_GB2312"/>
                <w:b w:val="0"/>
                <w:bCs w:val="0"/>
                <w:color w:val="000000"/>
                <w:kern w:val="2"/>
                <w:sz w:val="16"/>
                <w:szCs w:val="16"/>
                <w:vertAlign w:val="baseline"/>
                <w:lang w:val="en-US" w:eastAsia="zh-CN" w:bidi="ar-SA"/>
              </w:rPr>
              <w:t>；</w:t>
            </w:r>
          </w:p>
          <w:p w14:paraId="64A48BC3">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★14、装饰AR制作台可在案例中一键天气切换，如晴天、阴天、下雨、下雪等。</w:t>
            </w:r>
          </w:p>
        </w:tc>
        <w:tc>
          <w:tcPr>
            <w:tcW w:w="547" w:type="dxa"/>
          </w:tcPr>
          <w:p w14:paraId="1F854334">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套</w:t>
            </w:r>
          </w:p>
        </w:tc>
        <w:tc>
          <w:tcPr>
            <w:tcW w:w="706" w:type="dxa"/>
          </w:tcPr>
          <w:p w14:paraId="29E2CF14">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1</w:t>
            </w:r>
          </w:p>
        </w:tc>
        <w:tc>
          <w:tcPr>
            <w:tcW w:w="920" w:type="dxa"/>
          </w:tcPr>
          <w:p w14:paraId="6CA98D1C">
            <w:pPr>
              <w:spacing w:line="560" w:lineRule="exact"/>
              <w:rPr>
                <w:rFonts w:hint="eastAsia" w:ascii="仿宋_GB2312" w:hAnsi="Calibri" w:eastAsia="仿宋_GB2312" w:cs="仿宋_GB2312"/>
                <w:b/>
                <w:bCs/>
                <w:color w:val="000000"/>
                <w:kern w:val="2"/>
                <w:sz w:val="18"/>
                <w:szCs w:val="18"/>
                <w:vertAlign w:val="baseline"/>
                <w:lang w:val="en-US" w:eastAsia="zh-CN" w:bidi="ar-SA"/>
              </w:rPr>
            </w:pPr>
          </w:p>
        </w:tc>
        <w:tc>
          <w:tcPr>
            <w:tcW w:w="1111" w:type="dxa"/>
          </w:tcPr>
          <w:p w14:paraId="79CD3ABA">
            <w:pPr>
              <w:spacing w:line="560" w:lineRule="exact"/>
              <w:rPr>
                <w:rFonts w:hint="eastAsia" w:ascii="仿宋_GB2312" w:hAnsi="Calibri" w:eastAsia="仿宋_GB2312" w:cs="仿宋_GB2312"/>
                <w:b/>
                <w:bCs/>
                <w:color w:val="000000"/>
                <w:kern w:val="2"/>
                <w:sz w:val="18"/>
                <w:szCs w:val="18"/>
                <w:vertAlign w:val="baseline"/>
                <w:lang w:val="en-US" w:eastAsia="zh-CN" w:bidi="ar-SA"/>
              </w:rPr>
            </w:pPr>
          </w:p>
        </w:tc>
      </w:tr>
      <w:tr w14:paraId="1996B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tcPr>
          <w:p w14:paraId="51F01C7A">
            <w:pPr>
              <w:spacing w:line="560" w:lineRule="exact"/>
              <w:rPr>
                <w:rFonts w:hint="default" w:ascii="仿宋_GB2312" w:hAnsi="Calibri" w:eastAsia="仿宋_GB2312" w:cs="仿宋_GB2312"/>
                <w:b/>
                <w:bCs/>
                <w:color w:val="000000"/>
                <w:kern w:val="2"/>
                <w:sz w:val="18"/>
                <w:szCs w:val="18"/>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3</w:t>
            </w:r>
          </w:p>
        </w:tc>
        <w:tc>
          <w:tcPr>
            <w:tcW w:w="920" w:type="dxa"/>
          </w:tcPr>
          <w:p w14:paraId="4129F94F">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模拟橱窗(含4盏射灯)</w:t>
            </w:r>
          </w:p>
        </w:tc>
        <w:tc>
          <w:tcPr>
            <w:tcW w:w="5400" w:type="dxa"/>
          </w:tcPr>
          <w:p w14:paraId="303564B7">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1、材质：木板+不锈钢；≥1.2*1.2*2.4 米；</w:t>
            </w:r>
          </w:p>
          <w:p w14:paraId="6B2B58D5">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2、含射灯；</w:t>
            </w:r>
          </w:p>
          <w:p w14:paraId="7E1B2913">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3、内部构造根据甲方要求定制。</w:t>
            </w:r>
          </w:p>
        </w:tc>
        <w:tc>
          <w:tcPr>
            <w:tcW w:w="547" w:type="dxa"/>
          </w:tcPr>
          <w:p w14:paraId="7B01F031">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个</w:t>
            </w:r>
          </w:p>
        </w:tc>
        <w:tc>
          <w:tcPr>
            <w:tcW w:w="706" w:type="dxa"/>
          </w:tcPr>
          <w:p w14:paraId="2FD977B5">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4</w:t>
            </w:r>
          </w:p>
        </w:tc>
        <w:tc>
          <w:tcPr>
            <w:tcW w:w="920" w:type="dxa"/>
          </w:tcPr>
          <w:p w14:paraId="6144B1FD">
            <w:pPr>
              <w:spacing w:line="560" w:lineRule="exact"/>
              <w:rPr>
                <w:rFonts w:hint="eastAsia" w:ascii="仿宋_GB2312" w:hAnsi="Calibri" w:eastAsia="仿宋_GB2312" w:cs="仿宋_GB2312"/>
                <w:b/>
                <w:bCs/>
                <w:color w:val="000000"/>
                <w:kern w:val="2"/>
                <w:sz w:val="18"/>
                <w:szCs w:val="18"/>
                <w:vertAlign w:val="baseline"/>
                <w:lang w:val="en-US" w:eastAsia="zh-CN" w:bidi="ar-SA"/>
              </w:rPr>
            </w:pPr>
          </w:p>
        </w:tc>
        <w:tc>
          <w:tcPr>
            <w:tcW w:w="1111" w:type="dxa"/>
          </w:tcPr>
          <w:p w14:paraId="2D874D21">
            <w:pPr>
              <w:spacing w:line="560" w:lineRule="exact"/>
              <w:rPr>
                <w:rFonts w:hint="eastAsia" w:ascii="仿宋_GB2312" w:hAnsi="Calibri" w:eastAsia="仿宋_GB2312" w:cs="仿宋_GB2312"/>
                <w:b/>
                <w:bCs/>
                <w:color w:val="000000"/>
                <w:kern w:val="2"/>
                <w:sz w:val="18"/>
                <w:szCs w:val="18"/>
                <w:vertAlign w:val="baseline"/>
                <w:lang w:val="en-US" w:eastAsia="zh-CN" w:bidi="ar-SA"/>
              </w:rPr>
            </w:pPr>
          </w:p>
        </w:tc>
      </w:tr>
      <w:tr w14:paraId="3D1C7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tcPr>
          <w:p w14:paraId="0D2ED2DC">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4</w:t>
            </w:r>
          </w:p>
        </w:tc>
        <w:tc>
          <w:tcPr>
            <w:tcW w:w="920" w:type="dxa"/>
          </w:tcPr>
          <w:p w14:paraId="77E2DB7B">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综合布线</w:t>
            </w:r>
          </w:p>
        </w:tc>
        <w:tc>
          <w:tcPr>
            <w:tcW w:w="5400" w:type="dxa"/>
          </w:tcPr>
          <w:p w14:paraId="04EAD8FF">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1. 配置交换机机柜，网络面板安装，机房面积约为 90平方米，设 50个计算机机位及教师工位，按照 5列 * 10 行布置，每工位 2 只公牛牌五孔插座和50 个工位通电通网（插座、含交换机安装到位 ），网络连接到教师电脑；</w:t>
            </w:r>
          </w:p>
          <w:p w14:paraId="08AB7B0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2. 材料与工具：采用优质铜 6 类双绞线、配线架、跳线、标签、原装 AMP 网线、水晶头、电源插座插板、网络插板、网络测试仪、网线钳，强电电缆为品牌电线 / BV4 平方以上单铜芯，强电接入到机房内的空开断路器盒（需新增，且符合强电规范 ）。</w:t>
            </w:r>
          </w:p>
        </w:tc>
        <w:tc>
          <w:tcPr>
            <w:tcW w:w="547" w:type="dxa"/>
          </w:tcPr>
          <w:p w14:paraId="792EE1EA">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项</w:t>
            </w:r>
          </w:p>
        </w:tc>
        <w:tc>
          <w:tcPr>
            <w:tcW w:w="706" w:type="dxa"/>
          </w:tcPr>
          <w:p w14:paraId="54E0D8F3">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1</w:t>
            </w:r>
          </w:p>
        </w:tc>
        <w:tc>
          <w:tcPr>
            <w:tcW w:w="920" w:type="dxa"/>
          </w:tcPr>
          <w:p w14:paraId="31F0AA9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p>
        </w:tc>
        <w:tc>
          <w:tcPr>
            <w:tcW w:w="1111" w:type="dxa"/>
          </w:tcPr>
          <w:p w14:paraId="3FB665DE">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p>
        </w:tc>
      </w:tr>
      <w:tr w14:paraId="21E1F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7" w:hRule="atLeast"/>
        </w:trPr>
        <w:tc>
          <w:tcPr>
            <w:tcW w:w="613" w:type="dxa"/>
          </w:tcPr>
          <w:p w14:paraId="1A8AF081">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hAnsi="Calibri" w:eastAsia="仿宋_GB2312" w:cs="仿宋_GB2312"/>
                <w:b w:val="0"/>
                <w:bCs w:val="0"/>
                <w:color w:val="000000"/>
                <w:kern w:val="2"/>
                <w:sz w:val="16"/>
                <w:szCs w:val="16"/>
                <w:vertAlign w:val="baseline"/>
                <w:lang w:val="en-US" w:eastAsia="zh-CN" w:bidi="ar-SA"/>
              </w:rPr>
            </w:pPr>
            <w:r>
              <w:rPr>
                <w:rFonts w:hint="eastAsia" w:ascii="仿宋_GB2312" w:eastAsia="仿宋_GB2312" w:cs="仿宋_GB2312"/>
                <w:b w:val="0"/>
                <w:bCs w:val="0"/>
                <w:color w:val="000000"/>
                <w:kern w:val="2"/>
                <w:sz w:val="16"/>
                <w:szCs w:val="16"/>
                <w:vertAlign w:val="baseline"/>
                <w:lang w:val="en-US" w:eastAsia="zh-CN" w:bidi="ar-SA"/>
              </w:rPr>
              <w:t>5</w:t>
            </w:r>
          </w:p>
        </w:tc>
        <w:tc>
          <w:tcPr>
            <w:tcW w:w="920" w:type="dxa"/>
          </w:tcPr>
          <w:p w14:paraId="21C7FE3B">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灯光色温制作柜</w:t>
            </w:r>
          </w:p>
        </w:tc>
        <w:tc>
          <w:tcPr>
            <w:tcW w:w="5400" w:type="dxa"/>
          </w:tcPr>
          <w:p w14:paraId="0107E9A4">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1、高2440*宽1200*厚350MM，高密度纤维板或木工板基层，漆面层，板材环保及防火标准符合国家标准；</w:t>
            </w:r>
          </w:p>
          <w:p w14:paraId="0C922C46">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2、内置2000K/2700K/3000K/3500K/4000K/6000K LED射灯各一个。功率：6W；光束角：15°（24/36°）；转动角度：0-30°；安装方式：嵌入式；防护等级：IP20;显色指数&gt;90;材质：灯体压铸铝、反射器PC；</w:t>
            </w:r>
          </w:p>
          <w:p w14:paraId="7D629175">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3、内置RGB灯带三条。功率：20W；光束角：120度；安装方式：固定式；防护等级：IP20;显色指数&gt;90;材质：柔性PCB;最小裁剪尺寸：W12H2.2mm 5m/卷；输入电压电流：DC24V 0.18A；灯具流明 红光:136.92lm/m 、绿光:299.08lm/m 、蓝光:67lm/m 、白光:347.21lm/m 、黄光:294.65lm/m；</w:t>
            </w:r>
          </w:p>
          <w:p w14:paraId="68825466">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4、24V恒压50W电源6只；</w:t>
            </w:r>
          </w:p>
          <w:p w14:paraId="62A7485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5、配标准86型开关；</w:t>
            </w:r>
          </w:p>
          <w:p w14:paraId="6E1CE5EE">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6、学校名称牌：亚克力板材质。</w:t>
            </w:r>
          </w:p>
        </w:tc>
        <w:tc>
          <w:tcPr>
            <w:tcW w:w="547" w:type="dxa"/>
          </w:tcPr>
          <w:p w14:paraId="350D2243">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hAnsi="Calibri" w:eastAsia="仿宋_GB2312" w:cs="仿宋_GB2312"/>
                <w:b w:val="0"/>
                <w:bCs w:val="0"/>
                <w:color w:val="000000"/>
                <w:kern w:val="2"/>
                <w:sz w:val="16"/>
                <w:szCs w:val="16"/>
                <w:vertAlign w:val="baseline"/>
                <w:lang w:val="en-US" w:eastAsia="zh-CN" w:bidi="ar-SA"/>
              </w:rPr>
            </w:pPr>
            <w:r>
              <w:rPr>
                <w:rFonts w:hint="eastAsia" w:ascii="仿宋_GB2312" w:eastAsia="仿宋_GB2312" w:cs="仿宋_GB2312"/>
                <w:b w:val="0"/>
                <w:bCs w:val="0"/>
                <w:color w:val="000000"/>
                <w:kern w:val="2"/>
                <w:sz w:val="16"/>
                <w:szCs w:val="16"/>
                <w:vertAlign w:val="baseline"/>
                <w:lang w:val="en-US" w:eastAsia="zh-CN" w:bidi="ar-SA"/>
              </w:rPr>
              <w:t>个</w:t>
            </w:r>
          </w:p>
        </w:tc>
        <w:tc>
          <w:tcPr>
            <w:tcW w:w="706" w:type="dxa"/>
          </w:tcPr>
          <w:p w14:paraId="41B1BF83">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hAnsi="Calibri" w:eastAsia="仿宋_GB2312" w:cs="仿宋_GB2312"/>
                <w:b w:val="0"/>
                <w:bCs w:val="0"/>
                <w:color w:val="000000"/>
                <w:kern w:val="2"/>
                <w:sz w:val="16"/>
                <w:szCs w:val="16"/>
                <w:vertAlign w:val="baseline"/>
                <w:lang w:val="en-US" w:eastAsia="zh-CN" w:bidi="ar-SA"/>
              </w:rPr>
            </w:pPr>
            <w:r>
              <w:rPr>
                <w:rFonts w:hint="eastAsia" w:ascii="仿宋_GB2312" w:eastAsia="仿宋_GB2312" w:cs="仿宋_GB2312"/>
                <w:b w:val="0"/>
                <w:bCs w:val="0"/>
                <w:color w:val="000000"/>
                <w:kern w:val="2"/>
                <w:sz w:val="16"/>
                <w:szCs w:val="16"/>
                <w:vertAlign w:val="baseline"/>
                <w:lang w:val="en-US" w:eastAsia="zh-CN" w:bidi="ar-SA"/>
              </w:rPr>
              <w:t>1</w:t>
            </w:r>
          </w:p>
        </w:tc>
        <w:tc>
          <w:tcPr>
            <w:tcW w:w="920" w:type="dxa"/>
          </w:tcPr>
          <w:p w14:paraId="225638F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p>
        </w:tc>
        <w:tc>
          <w:tcPr>
            <w:tcW w:w="1111" w:type="dxa"/>
          </w:tcPr>
          <w:p w14:paraId="19706D4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p>
        </w:tc>
      </w:tr>
      <w:tr w14:paraId="27301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tcPr>
          <w:p w14:paraId="3D16A86B">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eastAsia="仿宋_GB2312" w:cs="仿宋_GB2312"/>
                <w:b w:val="0"/>
                <w:bCs w:val="0"/>
                <w:color w:val="000000"/>
                <w:kern w:val="2"/>
                <w:sz w:val="16"/>
                <w:szCs w:val="16"/>
                <w:vertAlign w:val="baseline"/>
                <w:lang w:val="en-US" w:eastAsia="zh-CN" w:bidi="ar-SA"/>
              </w:rPr>
            </w:pPr>
            <w:r>
              <w:rPr>
                <w:rFonts w:hint="eastAsia" w:ascii="仿宋_GB2312" w:eastAsia="仿宋_GB2312" w:cs="仿宋_GB2312"/>
                <w:b w:val="0"/>
                <w:bCs w:val="0"/>
                <w:color w:val="000000"/>
                <w:kern w:val="2"/>
                <w:sz w:val="16"/>
                <w:szCs w:val="16"/>
                <w:vertAlign w:val="baseline"/>
                <w:lang w:val="en-US" w:eastAsia="zh-CN" w:bidi="ar-SA"/>
              </w:rPr>
              <w:t>6</w:t>
            </w:r>
          </w:p>
        </w:tc>
        <w:tc>
          <w:tcPr>
            <w:tcW w:w="920" w:type="dxa"/>
          </w:tcPr>
          <w:p w14:paraId="28B53A20">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灯光显色制作柜</w:t>
            </w:r>
          </w:p>
        </w:tc>
        <w:tc>
          <w:tcPr>
            <w:tcW w:w="5400" w:type="dxa"/>
          </w:tcPr>
          <w:p w14:paraId="5E71FB44">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1、高2440*宽1200*厚350MM（板材防火达国家标准）；</w:t>
            </w:r>
          </w:p>
          <w:p w14:paraId="2203A59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2、柔性射灯灯具2只。产品功率：6W；灯具流明：295lm；Ra&gt;80;光束角：40°；产品尺寸：Φ39*63mm；安装方式：嵌入式;产品材质：铝和PC反光杯；</w:t>
            </w:r>
          </w:p>
          <w:p w14:paraId="71D6C9AF">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3、柔性射灯灯具2只。产品功率：12W；灯具流明：700lm；Ra&gt;90;光束角：24°（15°/36°/50°）;产品尺寸：ø82*88mm;安装方式：嵌入式;产品材质：散热器压铸铝 灯体PC；</w:t>
            </w:r>
          </w:p>
          <w:p w14:paraId="71785DCE">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4、柔性射灯灯具2只。产品功率：15W；灯具流明：900lm；Ra&gt;95;光束角：24°（15°/36°）;遮光角:35°;产品尺寸：ø82*95mm;安装方式：嵌入式;产品材质：铝；</w:t>
            </w:r>
          </w:p>
          <w:p w14:paraId="3247AE2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5、配标准86型开关；</w:t>
            </w:r>
          </w:p>
          <w:p w14:paraId="45DC1550">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6、学校名称牌：亚克力板材质。</w:t>
            </w:r>
          </w:p>
        </w:tc>
        <w:tc>
          <w:tcPr>
            <w:tcW w:w="547" w:type="dxa"/>
          </w:tcPr>
          <w:p w14:paraId="3BBC429B">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eastAsia="仿宋_GB2312" w:cs="仿宋_GB2312"/>
                <w:b w:val="0"/>
                <w:bCs w:val="0"/>
                <w:color w:val="000000"/>
                <w:kern w:val="2"/>
                <w:sz w:val="16"/>
                <w:szCs w:val="16"/>
                <w:vertAlign w:val="baseline"/>
                <w:lang w:val="en-US" w:eastAsia="zh-CN" w:bidi="ar-SA"/>
              </w:rPr>
            </w:pPr>
            <w:r>
              <w:rPr>
                <w:rFonts w:hint="eastAsia" w:ascii="仿宋_GB2312" w:eastAsia="仿宋_GB2312" w:cs="仿宋_GB2312"/>
                <w:b w:val="0"/>
                <w:bCs w:val="0"/>
                <w:color w:val="000000"/>
                <w:kern w:val="2"/>
                <w:sz w:val="16"/>
                <w:szCs w:val="16"/>
                <w:vertAlign w:val="baseline"/>
                <w:lang w:val="en-US" w:eastAsia="zh-CN" w:bidi="ar-SA"/>
              </w:rPr>
              <w:t>个</w:t>
            </w:r>
          </w:p>
        </w:tc>
        <w:tc>
          <w:tcPr>
            <w:tcW w:w="706" w:type="dxa"/>
          </w:tcPr>
          <w:p w14:paraId="6545BF3E">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eastAsia="仿宋_GB2312" w:cs="仿宋_GB2312"/>
                <w:b w:val="0"/>
                <w:bCs w:val="0"/>
                <w:color w:val="000000"/>
                <w:kern w:val="2"/>
                <w:sz w:val="16"/>
                <w:szCs w:val="16"/>
                <w:vertAlign w:val="baseline"/>
                <w:lang w:val="en-US" w:eastAsia="zh-CN" w:bidi="ar-SA"/>
              </w:rPr>
            </w:pPr>
            <w:r>
              <w:rPr>
                <w:rFonts w:hint="eastAsia" w:ascii="仿宋_GB2312" w:eastAsia="仿宋_GB2312" w:cs="仿宋_GB2312"/>
                <w:b w:val="0"/>
                <w:bCs w:val="0"/>
                <w:color w:val="000000"/>
                <w:kern w:val="2"/>
                <w:sz w:val="16"/>
                <w:szCs w:val="16"/>
                <w:vertAlign w:val="baseline"/>
                <w:lang w:val="en-US" w:eastAsia="zh-CN" w:bidi="ar-SA"/>
              </w:rPr>
              <w:t>1</w:t>
            </w:r>
          </w:p>
        </w:tc>
        <w:tc>
          <w:tcPr>
            <w:tcW w:w="920" w:type="dxa"/>
          </w:tcPr>
          <w:p w14:paraId="7CBE89A4">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p>
        </w:tc>
        <w:tc>
          <w:tcPr>
            <w:tcW w:w="1111" w:type="dxa"/>
          </w:tcPr>
          <w:p w14:paraId="2DD47C0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p>
        </w:tc>
      </w:tr>
      <w:tr w14:paraId="588A5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tcPr>
          <w:p w14:paraId="418E7ED9">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eastAsia="仿宋_GB2312" w:cs="仿宋_GB2312"/>
                <w:b w:val="0"/>
                <w:bCs w:val="0"/>
                <w:color w:val="000000"/>
                <w:kern w:val="2"/>
                <w:sz w:val="16"/>
                <w:szCs w:val="16"/>
                <w:vertAlign w:val="baseline"/>
                <w:lang w:val="en-US" w:eastAsia="zh-CN" w:bidi="ar-SA"/>
              </w:rPr>
            </w:pPr>
            <w:r>
              <w:rPr>
                <w:rFonts w:hint="eastAsia" w:ascii="仿宋_GB2312" w:eastAsia="仿宋_GB2312" w:cs="仿宋_GB2312"/>
                <w:b w:val="0"/>
                <w:bCs w:val="0"/>
                <w:color w:val="000000"/>
                <w:kern w:val="2"/>
                <w:sz w:val="16"/>
                <w:szCs w:val="16"/>
                <w:vertAlign w:val="baseline"/>
                <w:lang w:val="en-US" w:eastAsia="zh-CN" w:bidi="ar-SA"/>
              </w:rPr>
              <w:t>7</w:t>
            </w:r>
          </w:p>
        </w:tc>
        <w:tc>
          <w:tcPr>
            <w:tcW w:w="920" w:type="dxa"/>
          </w:tcPr>
          <w:p w14:paraId="524FC6B5">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灯光光束制作柜</w:t>
            </w:r>
          </w:p>
        </w:tc>
        <w:tc>
          <w:tcPr>
            <w:tcW w:w="5400" w:type="dxa"/>
          </w:tcPr>
          <w:p w14:paraId="1F92BE5B">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1、高2440*宽1200*厚350MM，高密度纤维板或木工板基层，漆面层，板材环保及防火标准符合国家标准；</w:t>
            </w:r>
          </w:p>
          <w:p w14:paraId="19F18F5A">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2、柔性射灯灯具：光束角8度、光束角15度、光束角24度、光束角36度各一个；</w:t>
            </w:r>
          </w:p>
          <w:p w14:paraId="41E5E01A">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3、光束角8度柔性射灯。产品功率：10W；灯具流明：590lm；Ra&gt;95;光束角：24°(36°);产品尺寸：ø60*79mm;安装方式：嵌入式;产品材质：铝；</w:t>
            </w:r>
          </w:p>
          <w:p w14:paraId="514D0308">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4、光束角15度柔性射灯：产品功率：9W；灯具流明：550lm；Ra&gt;90;光束角：15°(24/36°);产品尺寸：ø85*110mm;安装方式：嵌入式;产品材质：铝；</w:t>
            </w:r>
          </w:p>
          <w:p w14:paraId="68085674">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5、光束角36度柔性射灯：产品功率：9W；灯具流明：638lm；Ra&gt;90;光束角：36°(15/24°);产品尺寸：ø85*67mm;安装方式：嵌入式;产品材质：压铸铝；</w:t>
            </w:r>
          </w:p>
          <w:p w14:paraId="2423CA9E">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7、配标准86型开关；</w:t>
            </w:r>
          </w:p>
          <w:p w14:paraId="66C189D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8、学校名称牌：亚克力板材质。</w:t>
            </w:r>
          </w:p>
        </w:tc>
        <w:tc>
          <w:tcPr>
            <w:tcW w:w="547" w:type="dxa"/>
          </w:tcPr>
          <w:p w14:paraId="407AF7A0">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eastAsia="仿宋_GB2312" w:cs="仿宋_GB2312"/>
                <w:b w:val="0"/>
                <w:bCs w:val="0"/>
                <w:color w:val="000000"/>
                <w:kern w:val="2"/>
                <w:sz w:val="16"/>
                <w:szCs w:val="16"/>
                <w:vertAlign w:val="baseline"/>
                <w:lang w:val="en-US" w:eastAsia="zh-CN" w:bidi="ar-SA"/>
              </w:rPr>
            </w:pPr>
            <w:r>
              <w:rPr>
                <w:rFonts w:hint="eastAsia" w:ascii="仿宋_GB2312" w:eastAsia="仿宋_GB2312" w:cs="仿宋_GB2312"/>
                <w:b w:val="0"/>
                <w:bCs w:val="0"/>
                <w:color w:val="000000"/>
                <w:kern w:val="2"/>
                <w:sz w:val="16"/>
                <w:szCs w:val="16"/>
                <w:vertAlign w:val="baseline"/>
                <w:lang w:val="en-US" w:eastAsia="zh-CN" w:bidi="ar-SA"/>
              </w:rPr>
              <w:t>个</w:t>
            </w:r>
          </w:p>
        </w:tc>
        <w:tc>
          <w:tcPr>
            <w:tcW w:w="706" w:type="dxa"/>
          </w:tcPr>
          <w:p w14:paraId="7567328E">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eastAsia="仿宋_GB2312" w:cs="仿宋_GB2312"/>
                <w:b w:val="0"/>
                <w:bCs w:val="0"/>
                <w:color w:val="000000"/>
                <w:kern w:val="2"/>
                <w:sz w:val="16"/>
                <w:szCs w:val="16"/>
                <w:vertAlign w:val="baseline"/>
                <w:lang w:val="en-US" w:eastAsia="zh-CN" w:bidi="ar-SA"/>
              </w:rPr>
            </w:pPr>
            <w:r>
              <w:rPr>
                <w:rFonts w:hint="eastAsia" w:ascii="仿宋_GB2312" w:eastAsia="仿宋_GB2312" w:cs="仿宋_GB2312"/>
                <w:b w:val="0"/>
                <w:bCs w:val="0"/>
                <w:color w:val="000000"/>
                <w:kern w:val="2"/>
                <w:sz w:val="16"/>
                <w:szCs w:val="16"/>
                <w:vertAlign w:val="baseline"/>
                <w:lang w:val="en-US" w:eastAsia="zh-CN" w:bidi="ar-SA"/>
              </w:rPr>
              <w:t>1</w:t>
            </w:r>
          </w:p>
        </w:tc>
        <w:tc>
          <w:tcPr>
            <w:tcW w:w="920" w:type="dxa"/>
          </w:tcPr>
          <w:p w14:paraId="75E38762">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p>
        </w:tc>
        <w:tc>
          <w:tcPr>
            <w:tcW w:w="1111" w:type="dxa"/>
          </w:tcPr>
          <w:p w14:paraId="4F46E048">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p>
        </w:tc>
      </w:tr>
      <w:tr w14:paraId="46092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tcPr>
          <w:p w14:paraId="125F2E6F">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eastAsia="仿宋_GB2312" w:cs="仿宋_GB2312"/>
                <w:b w:val="0"/>
                <w:bCs w:val="0"/>
                <w:color w:val="000000"/>
                <w:kern w:val="2"/>
                <w:sz w:val="16"/>
                <w:szCs w:val="16"/>
                <w:vertAlign w:val="baseline"/>
                <w:lang w:val="en-US" w:eastAsia="zh-CN" w:bidi="ar-SA"/>
              </w:rPr>
            </w:pPr>
            <w:r>
              <w:rPr>
                <w:rFonts w:hint="eastAsia" w:ascii="仿宋_GB2312" w:eastAsia="仿宋_GB2312" w:cs="仿宋_GB2312"/>
                <w:b w:val="0"/>
                <w:bCs w:val="0"/>
                <w:color w:val="000000"/>
                <w:kern w:val="2"/>
                <w:sz w:val="16"/>
                <w:szCs w:val="16"/>
                <w:vertAlign w:val="baseline"/>
                <w:lang w:val="en-US" w:eastAsia="zh-CN" w:bidi="ar-SA"/>
              </w:rPr>
              <w:t>8</w:t>
            </w:r>
          </w:p>
        </w:tc>
        <w:tc>
          <w:tcPr>
            <w:tcW w:w="920" w:type="dxa"/>
          </w:tcPr>
          <w:p w14:paraId="6C34D94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客厅模拟情景场景灯光制作柜</w:t>
            </w:r>
          </w:p>
        </w:tc>
        <w:tc>
          <w:tcPr>
            <w:tcW w:w="5400" w:type="dxa"/>
          </w:tcPr>
          <w:p w14:paraId="4D26B37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1、高2440*宽1200*厚350MM，高密度纤维板或木工板基层，漆面层，板材环保及防火标准符合国家标准；</w:t>
            </w:r>
          </w:p>
          <w:p w14:paraId="4FB09FC8">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2、双色温灯体6只/线性灯带2米，根据客厅场景布置灯具；</w:t>
            </w:r>
          </w:p>
          <w:p w14:paraId="4BB9B2F5">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双色温灯体参数：产品功率：8W；灯具流明：460lm；Ra&gt;80;光束角：24°（15°/36°/50°）；产品尺寸：ø62*76mm；安装方式：嵌入式;产品材质：散热器压铸铝 灯体PC；</w:t>
            </w:r>
          </w:p>
          <w:p w14:paraId="02A49AB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3、带存储智能总线电源:1)输入:100-240VAC;2)输出:KEEY-BUS(Dali)16v &lt;250mA;3)具备 DALI 总线电流及电压的检测功能;4)按键测试功能:1#按键发暖色最大/关闭，2#按键发冷色最大/关闭，3#按键继电器开/关测试;5)自带 USB 输入端，可通过 Type-C口与U 盘等存储设备进行读取操作；</w:t>
            </w:r>
          </w:p>
          <w:p w14:paraId="205356B0">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4、双通道恒压调光调色寻址设备:1)输入电压:DC12-48V;2)输出功率:Max.8A;3)输出电压:12-48VDC;4)产品功能:双色调光；</w:t>
            </w:r>
          </w:p>
          <w:p w14:paraId="42F52CC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5、恒流调光调色寻址设备一台:1)输入电压:220-240V;2)输出功率:Max.50W 750-1200mA(拨码开关设置);3)输出电压:12-42V.DC;4)产品功能:单色/调光调色；</w:t>
            </w:r>
          </w:p>
          <w:p w14:paraId="504A498B">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6、LCD液品控制主机面板:1）输入:220V;2）接口:KEEY-BUS接口;3）功能:发送KEEY-BUS指令;4)安装:另配标准86底盒；</w:t>
            </w:r>
          </w:p>
          <w:p w14:paraId="6D61DBD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7、学校名称牌：亚克力板材质。</w:t>
            </w:r>
          </w:p>
          <w:p w14:paraId="7A9840F7">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hAnsi="Calibri" w:eastAsia="仿宋_GB2312" w:cs="仿宋_GB2312"/>
                <w:b w:val="0"/>
                <w:bCs w:val="0"/>
                <w:color w:val="000000"/>
                <w:kern w:val="2"/>
                <w:sz w:val="16"/>
                <w:szCs w:val="16"/>
                <w:vertAlign w:val="baseline"/>
                <w:lang w:val="en-US" w:eastAsia="zh-CN" w:bidi="ar-SA"/>
              </w:rPr>
            </w:pPr>
            <w:r>
              <w:rPr>
                <w:rFonts w:hint="eastAsia" w:ascii="仿宋_GB2312" w:eastAsia="仿宋_GB2312" w:cs="仿宋_GB2312"/>
                <w:b w:val="0"/>
                <w:bCs w:val="0"/>
                <w:color w:val="000000"/>
                <w:kern w:val="2"/>
                <w:sz w:val="16"/>
                <w:szCs w:val="16"/>
                <w:vertAlign w:val="baseline"/>
                <w:lang w:val="en-US" w:eastAsia="zh-CN" w:bidi="ar-SA"/>
              </w:rPr>
              <w:t>8、应支持搭配</w:t>
            </w:r>
            <w:r>
              <w:rPr>
                <w:rFonts w:hint="eastAsia" w:ascii="仿宋_GB2312" w:hAnsi="Calibri" w:eastAsia="仿宋_GB2312" w:cs="仿宋_GB2312"/>
                <w:b w:val="0"/>
                <w:bCs w:val="0"/>
                <w:color w:val="000000"/>
                <w:kern w:val="2"/>
                <w:sz w:val="16"/>
                <w:szCs w:val="16"/>
                <w:vertAlign w:val="baseline"/>
                <w:lang w:val="en-US" w:eastAsia="zh-CN" w:bidi="ar-SA"/>
              </w:rPr>
              <w:t>装饰AR制作台</w:t>
            </w:r>
            <w:r>
              <w:rPr>
                <w:rFonts w:hint="eastAsia" w:ascii="仿宋_GB2312" w:eastAsia="仿宋_GB2312" w:cs="仿宋_GB2312"/>
                <w:b w:val="0"/>
                <w:bCs w:val="0"/>
                <w:color w:val="000000"/>
                <w:kern w:val="2"/>
                <w:sz w:val="16"/>
                <w:szCs w:val="16"/>
                <w:vertAlign w:val="baseline"/>
                <w:lang w:val="en-US" w:eastAsia="zh-CN" w:bidi="ar-SA"/>
              </w:rPr>
              <w:t>进行VR交互设计，交互内容包含但不限于开关灯、开关门、材质替换、施工过程模拟、24小时光照模拟、播放视频，提供软件画面截图;</w:t>
            </w:r>
          </w:p>
        </w:tc>
        <w:tc>
          <w:tcPr>
            <w:tcW w:w="547" w:type="dxa"/>
          </w:tcPr>
          <w:p w14:paraId="3F9985F4">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eastAsia="仿宋_GB2312" w:cs="仿宋_GB2312"/>
                <w:b w:val="0"/>
                <w:bCs w:val="0"/>
                <w:color w:val="000000"/>
                <w:kern w:val="2"/>
                <w:sz w:val="16"/>
                <w:szCs w:val="16"/>
                <w:vertAlign w:val="baseline"/>
                <w:lang w:val="en-US" w:eastAsia="zh-CN" w:bidi="ar-SA"/>
              </w:rPr>
            </w:pPr>
            <w:r>
              <w:rPr>
                <w:rFonts w:hint="eastAsia" w:ascii="仿宋_GB2312" w:eastAsia="仿宋_GB2312" w:cs="仿宋_GB2312"/>
                <w:b w:val="0"/>
                <w:bCs w:val="0"/>
                <w:color w:val="000000"/>
                <w:kern w:val="2"/>
                <w:sz w:val="16"/>
                <w:szCs w:val="16"/>
                <w:vertAlign w:val="baseline"/>
                <w:lang w:val="en-US" w:eastAsia="zh-CN" w:bidi="ar-SA"/>
              </w:rPr>
              <w:t>个</w:t>
            </w:r>
          </w:p>
        </w:tc>
        <w:tc>
          <w:tcPr>
            <w:tcW w:w="706" w:type="dxa"/>
          </w:tcPr>
          <w:p w14:paraId="5F71ADBA">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eastAsia="仿宋_GB2312" w:cs="仿宋_GB2312"/>
                <w:b w:val="0"/>
                <w:bCs w:val="0"/>
                <w:color w:val="000000"/>
                <w:kern w:val="2"/>
                <w:sz w:val="16"/>
                <w:szCs w:val="16"/>
                <w:vertAlign w:val="baseline"/>
                <w:lang w:val="en-US" w:eastAsia="zh-CN" w:bidi="ar-SA"/>
              </w:rPr>
            </w:pPr>
            <w:r>
              <w:rPr>
                <w:rFonts w:hint="eastAsia" w:ascii="仿宋_GB2312" w:eastAsia="仿宋_GB2312" w:cs="仿宋_GB2312"/>
                <w:b w:val="0"/>
                <w:bCs w:val="0"/>
                <w:color w:val="000000"/>
                <w:kern w:val="2"/>
                <w:sz w:val="16"/>
                <w:szCs w:val="16"/>
                <w:vertAlign w:val="baseline"/>
                <w:lang w:val="en-US" w:eastAsia="zh-CN" w:bidi="ar-SA"/>
              </w:rPr>
              <w:t>1</w:t>
            </w:r>
          </w:p>
        </w:tc>
        <w:tc>
          <w:tcPr>
            <w:tcW w:w="920" w:type="dxa"/>
          </w:tcPr>
          <w:p w14:paraId="1E227793">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p>
        </w:tc>
        <w:tc>
          <w:tcPr>
            <w:tcW w:w="1111" w:type="dxa"/>
          </w:tcPr>
          <w:p w14:paraId="1258871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p>
        </w:tc>
      </w:tr>
      <w:tr w14:paraId="49AE5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tcPr>
          <w:p w14:paraId="2D7B5F00">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eastAsia="仿宋_GB2312" w:cs="仿宋_GB2312"/>
                <w:b w:val="0"/>
                <w:bCs w:val="0"/>
                <w:color w:val="000000"/>
                <w:kern w:val="2"/>
                <w:sz w:val="16"/>
                <w:szCs w:val="16"/>
                <w:vertAlign w:val="baseline"/>
                <w:lang w:val="en-US" w:eastAsia="zh-CN" w:bidi="ar-SA"/>
              </w:rPr>
            </w:pPr>
            <w:r>
              <w:rPr>
                <w:rFonts w:hint="eastAsia" w:ascii="仿宋_GB2312" w:eastAsia="仿宋_GB2312" w:cs="仿宋_GB2312"/>
                <w:b w:val="0"/>
                <w:bCs w:val="0"/>
                <w:color w:val="000000"/>
                <w:kern w:val="2"/>
                <w:sz w:val="16"/>
                <w:szCs w:val="16"/>
                <w:vertAlign w:val="baseline"/>
                <w:lang w:val="en-US" w:eastAsia="zh-CN" w:bidi="ar-SA"/>
              </w:rPr>
              <w:t>9</w:t>
            </w:r>
          </w:p>
        </w:tc>
        <w:tc>
          <w:tcPr>
            <w:tcW w:w="920" w:type="dxa"/>
          </w:tcPr>
          <w:p w14:paraId="7C5B1ECB">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卧室模拟情景场景灯光制作柜</w:t>
            </w:r>
          </w:p>
        </w:tc>
        <w:tc>
          <w:tcPr>
            <w:tcW w:w="5400" w:type="dxa"/>
          </w:tcPr>
          <w:p w14:paraId="23ACB17F">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1、高2440*宽1200*厚350MM，高密度纤维板或木工板基层，漆面层，板材环保及防火标准符合国家标准；</w:t>
            </w:r>
          </w:p>
          <w:p w14:paraId="2E215656">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2、双色温灯体6只/线性灯带2米，根据卧室场景布置灯具；</w:t>
            </w:r>
          </w:p>
          <w:p w14:paraId="1BF5BB70">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双色温灯体参数：产品功率：8W；灯具流明：460lm；Ra&gt;80;光束角：24°（15°/36°/50°）；产品尺寸：ø62*76mm；安装方式：嵌入式;产品材质：散热器压铸铝 灯体PC；</w:t>
            </w:r>
          </w:p>
          <w:p w14:paraId="5645CFF3">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3、带存储智能总线电源:1)输入:100-240VAC;2)输出:KEEY-BUS(Dali)16v &lt;250mA;3)具备 DALI 总线电流及电压的检测功能;4)按键测试功能:1#按键发暖色最大/关闭，2#按键发冷色最大/关闭，3#按键继电器开/关测试;5)自带 USB 输入端，可通过 Type-C口与U 盘等存储设备进行读取操作；</w:t>
            </w:r>
          </w:p>
          <w:p w14:paraId="25F0348B">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4、双通道恒压调光调色寻址设备:1)输入电压:DC12-48V;2)输出功率:Max.8A;3)输出电压:12-48VDC;4)产品功能:双色调光；</w:t>
            </w:r>
          </w:p>
          <w:p w14:paraId="1CB163EE">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5、恒流调光调色寻址设备一台:1)输入电压:220-240V;2)输出功率:Max.50W 750-1200mA(拨码开关设置);3)输出电压:12-42V.DC;4)产品功能:单色/调光调色；</w:t>
            </w:r>
          </w:p>
          <w:p w14:paraId="3579A640">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6、LCD液品控制主机面板:1）输入:220V;2）接口:KEEY-BUS接口;3）功能:发送KEEY-BUS指令;4)安装:另配标准86底盒；</w:t>
            </w:r>
          </w:p>
          <w:p w14:paraId="07BD744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r>
              <w:rPr>
                <w:rFonts w:hint="eastAsia" w:ascii="仿宋_GB2312" w:hAnsi="Calibri" w:eastAsia="仿宋_GB2312" w:cs="仿宋_GB2312"/>
                <w:b w:val="0"/>
                <w:bCs w:val="0"/>
                <w:color w:val="000000"/>
                <w:kern w:val="2"/>
                <w:sz w:val="16"/>
                <w:szCs w:val="16"/>
                <w:vertAlign w:val="baseline"/>
                <w:lang w:val="en-US" w:eastAsia="zh-CN" w:bidi="ar-SA"/>
              </w:rPr>
              <w:t>7、学校名称牌：亚克力板材质。</w:t>
            </w:r>
          </w:p>
        </w:tc>
        <w:tc>
          <w:tcPr>
            <w:tcW w:w="547" w:type="dxa"/>
          </w:tcPr>
          <w:p w14:paraId="0BA9661B">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eastAsia="仿宋_GB2312" w:cs="仿宋_GB2312"/>
                <w:b w:val="0"/>
                <w:bCs w:val="0"/>
                <w:color w:val="000000"/>
                <w:kern w:val="2"/>
                <w:sz w:val="16"/>
                <w:szCs w:val="16"/>
                <w:vertAlign w:val="baseline"/>
                <w:lang w:val="en-US" w:eastAsia="zh-CN" w:bidi="ar-SA"/>
              </w:rPr>
            </w:pPr>
            <w:r>
              <w:rPr>
                <w:rFonts w:hint="eastAsia" w:ascii="仿宋_GB2312" w:eastAsia="仿宋_GB2312" w:cs="仿宋_GB2312"/>
                <w:b w:val="0"/>
                <w:bCs w:val="0"/>
                <w:color w:val="000000"/>
                <w:kern w:val="2"/>
                <w:sz w:val="16"/>
                <w:szCs w:val="16"/>
                <w:vertAlign w:val="baseline"/>
                <w:lang w:val="en-US" w:eastAsia="zh-CN" w:bidi="ar-SA"/>
              </w:rPr>
              <w:t>个</w:t>
            </w:r>
          </w:p>
        </w:tc>
        <w:tc>
          <w:tcPr>
            <w:tcW w:w="706" w:type="dxa"/>
          </w:tcPr>
          <w:p w14:paraId="788D9ABB">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eastAsia="仿宋_GB2312" w:cs="仿宋_GB2312"/>
                <w:b w:val="0"/>
                <w:bCs w:val="0"/>
                <w:color w:val="000000"/>
                <w:kern w:val="2"/>
                <w:sz w:val="16"/>
                <w:szCs w:val="16"/>
                <w:vertAlign w:val="baseline"/>
                <w:lang w:val="en-US" w:eastAsia="zh-CN" w:bidi="ar-SA"/>
              </w:rPr>
            </w:pPr>
            <w:r>
              <w:rPr>
                <w:rFonts w:hint="eastAsia" w:ascii="仿宋_GB2312" w:eastAsia="仿宋_GB2312" w:cs="仿宋_GB2312"/>
                <w:b w:val="0"/>
                <w:bCs w:val="0"/>
                <w:color w:val="000000"/>
                <w:kern w:val="2"/>
                <w:sz w:val="16"/>
                <w:szCs w:val="16"/>
                <w:vertAlign w:val="baseline"/>
                <w:lang w:val="en-US" w:eastAsia="zh-CN" w:bidi="ar-SA"/>
              </w:rPr>
              <w:t>1</w:t>
            </w:r>
          </w:p>
        </w:tc>
        <w:tc>
          <w:tcPr>
            <w:tcW w:w="920" w:type="dxa"/>
          </w:tcPr>
          <w:p w14:paraId="7CC6783B">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p>
        </w:tc>
        <w:tc>
          <w:tcPr>
            <w:tcW w:w="1111" w:type="dxa"/>
          </w:tcPr>
          <w:p w14:paraId="5856FDBE">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p>
        </w:tc>
      </w:tr>
    </w:tbl>
    <w:p w14:paraId="1D80E38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Calibri" w:eastAsia="仿宋_GB2312" w:cs="仿宋_GB2312"/>
          <w:b w:val="0"/>
          <w:bCs w:val="0"/>
          <w:color w:val="000000"/>
          <w:kern w:val="2"/>
          <w:sz w:val="16"/>
          <w:szCs w:val="16"/>
          <w:vertAlign w:val="baseline"/>
          <w:lang w:val="en-US" w:eastAsia="zh-CN" w:bidi="ar-SA"/>
        </w:rPr>
      </w:pPr>
    </w:p>
    <w:p w14:paraId="315C3CC6">
      <w:pPr>
        <w:spacing w:line="560" w:lineRule="exact"/>
        <w:rPr>
          <w:rFonts w:hint="default" w:ascii="仿宋_GB2312" w:hAnsi="Calibri" w:eastAsia="仿宋_GB2312" w:cs="仿宋_GB2312"/>
          <w:b/>
          <w:bCs/>
          <w:color w:val="000000"/>
          <w:kern w:val="2"/>
          <w:sz w:val="28"/>
          <w:szCs w:val="28"/>
          <w:lang w:val="en-US" w:eastAsia="zh-CN" w:bidi="ar-SA"/>
        </w:rPr>
      </w:pPr>
      <w:r>
        <w:rPr>
          <w:rFonts w:hint="eastAsia" w:ascii="仿宋_GB2312" w:hAnsi="Calibri" w:eastAsia="仿宋_GB2312" w:cs="仿宋_GB2312"/>
          <w:b/>
          <w:bCs/>
          <w:color w:val="000000"/>
          <w:kern w:val="2"/>
          <w:sz w:val="28"/>
          <w:szCs w:val="28"/>
          <w:lang w:val="en-US" w:eastAsia="zh-CN" w:bidi="ar-SA"/>
        </w:rPr>
        <w:t>项目联系人：</w:t>
      </w:r>
      <w:r>
        <w:rPr>
          <w:rFonts w:hint="eastAsia" w:ascii="仿宋_GB2312" w:eastAsia="仿宋_GB2312" w:cs="仿宋_GB2312"/>
          <w:b/>
          <w:bCs/>
          <w:color w:val="000000"/>
          <w:kern w:val="2"/>
          <w:sz w:val="28"/>
          <w:szCs w:val="28"/>
          <w:lang w:val="en-US" w:eastAsia="zh-CN" w:bidi="ar-SA"/>
        </w:rPr>
        <w:t>薛</w:t>
      </w:r>
      <w:r>
        <w:rPr>
          <w:rFonts w:hint="eastAsia" w:ascii="仿宋_GB2312" w:hAnsi="Calibri" w:eastAsia="仿宋_GB2312" w:cs="仿宋_GB2312"/>
          <w:b/>
          <w:bCs/>
          <w:color w:val="000000"/>
          <w:kern w:val="2"/>
          <w:sz w:val="28"/>
          <w:szCs w:val="28"/>
          <w:lang w:val="en-US" w:eastAsia="zh-CN" w:bidi="ar-SA"/>
        </w:rPr>
        <w:t>老师</w:t>
      </w:r>
      <w:r>
        <w:rPr>
          <w:rFonts w:hint="eastAsia" w:ascii="仿宋_GB2312" w:eastAsia="仿宋_GB2312" w:cs="仿宋_GB2312"/>
          <w:b/>
          <w:bCs/>
          <w:color w:val="000000"/>
          <w:kern w:val="2"/>
          <w:sz w:val="28"/>
          <w:szCs w:val="28"/>
          <w:lang w:val="en-US" w:eastAsia="zh-CN" w:bidi="ar-SA"/>
        </w:rPr>
        <w:t>15851082897</w:t>
      </w:r>
    </w:p>
    <w:p w14:paraId="3DB48C1B">
      <w:pPr>
        <w:keepNext w:val="0"/>
        <w:keepLines w:val="0"/>
        <w:pageBreakBefore w:val="0"/>
        <w:kinsoku/>
        <w:wordWrap/>
        <w:overflowPunct/>
        <w:topLinePunct w:val="0"/>
        <w:autoSpaceDE/>
        <w:autoSpaceDN/>
        <w:bidi w:val="0"/>
        <w:spacing w:line="44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二、投标人须具备的资格条件</w:t>
      </w:r>
    </w:p>
    <w:p w14:paraId="41E15563">
      <w:pPr>
        <w:pStyle w:val="11"/>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440" w:lineRule="exact"/>
        <w:ind w:left="0" w:right="0" w:firstLine="0"/>
        <w:textAlignment w:val="auto"/>
        <w:rPr>
          <w:rFonts w:hint="eastAsia" w:ascii="仿宋_GB2312" w:hAnsi="Calibri" w:eastAsia="仿宋_GB2312" w:cs="仿宋_GB2312"/>
          <w:color w:val="000000"/>
          <w:kern w:val="2"/>
          <w:sz w:val="28"/>
          <w:szCs w:val="28"/>
          <w:lang w:val="en-US" w:eastAsia="zh-CN" w:bidi="ar-SA"/>
        </w:rPr>
      </w:pPr>
      <w:r>
        <w:rPr>
          <w:rFonts w:hint="eastAsia" w:ascii="仿宋_GB2312" w:hAnsi="Calibri" w:eastAsia="仿宋_GB2312" w:cs="仿宋_GB2312"/>
          <w:color w:val="000000"/>
          <w:kern w:val="2"/>
          <w:sz w:val="28"/>
          <w:szCs w:val="28"/>
          <w:lang w:val="en-US" w:eastAsia="zh-CN" w:bidi="ar-SA"/>
        </w:rPr>
        <w:t>1.满足《中华人民共和国政府采购法》第二十二条规定，并提供下列材料；</w:t>
      </w:r>
    </w:p>
    <w:p w14:paraId="19FE9D60">
      <w:pPr>
        <w:pStyle w:val="11"/>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440" w:lineRule="exact"/>
        <w:ind w:left="0" w:right="0" w:firstLine="0"/>
        <w:textAlignment w:val="auto"/>
        <w:rPr>
          <w:rFonts w:hint="eastAsia" w:ascii="仿宋_GB2312" w:hAnsi="Calibri" w:eastAsia="仿宋_GB2312" w:cs="仿宋_GB2312"/>
          <w:color w:val="000000"/>
          <w:kern w:val="2"/>
          <w:sz w:val="28"/>
          <w:szCs w:val="28"/>
          <w:lang w:val="en-US" w:eastAsia="zh-CN" w:bidi="ar-SA"/>
        </w:rPr>
      </w:pPr>
      <w:r>
        <w:rPr>
          <w:rFonts w:hint="eastAsia" w:ascii="仿宋_GB2312" w:hAnsi="Calibri" w:eastAsia="仿宋_GB2312" w:cs="仿宋_GB2312"/>
          <w:color w:val="000000"/>
          <w:kern w:val="2"/>
          <w:sz w:val="28"/>
          <w:szCs w:val="28"/>
          <w:lang w:val="en-US" w:eastAsia="zh-CN" w:bidi="ar-SA"/>
        </w:rPr>
        <w:t>（1）法人或者其他组织的营业执照等证明文件，自然人的身份证明；</w:t>
      </w:r>
    </w:p>
    <w:p w14:paraId="54BB72F4">
      <w:pPr>
        <w:pStyle w:val="11"/>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440" w:lineRule="exact"/>
        <w:ind w:left="0" w:right="0" w:firstLine="0"/>
        <w:textAlignment w:val="auto"/>
        <w:rPr>
          <w:rFonts w:hint="default" w:ascii="仿宋_GB2312" w:hAnsi="Calibri" w:eastAsia="仿宋_GB2312" w:cs="仿宋_GB2312"/>
          <w:color w:val="000000"/>
          <w:kern w:val="2"/>
          <w:sz w:val="28"/>
          <w:szCs w:val="28"/>
          <w:lang w:val="en-US" w:eastAsia="zh-CN" w:bidi="ar-SA"/>
        </w:rPr>
      </w:pPr>
      <w:r>
        <w:rPr>
          <w:rFonts w:hint="eastAsia" w:ascii="仿宋_GB2312" w:hAnsi="Calibri" w:eastAsia="仿宋_GB2312" w:cs="仿宋_GB2312"/>
          <w:color w:val="000000"/>
          <w:kern w:val="2"/>
          <w:sz w:val="28"/>
          <w:szCs w:val="28"/>
          <w:lang w:val="en-US" w:eastAsia="zh-CN" w:bidi="ar-SA"/>
        </w:rPr>
        <w:t>（2）上一年度的财务报表；（成立不满一年无需提供）</w:t>
      </w:r>
    </w:p>
    <w:p w14:paraId="65F22F3E">
      <w:pPr>
        <w:pStyle w:val="11"/>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440" w:lineRule="exact"/>
        <w:ind w:left="0" w:right="0" w:firstLine="0"/>
        <w:textAlignment w:val="auto"/>
        <w:rPr>
          <w:rFonts w:hint="eastAsia" w:ascii="仿宋_GB2312" w:hAnsi="Calibri" w:eastAsia="仿宋_GB2312" w:cs="仿宋_GB2312"/>
          <w:color w:val="000000"/>
          <w:kern w:val="2"/>
          <w:sz w:val="28"/>
          <w:szCs w:val="28"/>
          <w:lang w:val="en-US" w:eastAsia="zh-CN" w:bidi="ar-SA"/>
        </w:rPr>
      </w:pPr>
      <w:r>
        <w:rPr>
          <w:rFonts w:hint="eastAsia" w:ascii="仿宋_GB2312" w:hAnsi="Calibri" w:eastAsia="仿宋_GB2312" w:cs="仿宋_GB2312"/>
          <w:color w:val="000000"/>
          <w:kern w:val="2"/>
          <w:sz w:val="28"/>
          <w:szCs w:val="28"/>
          <w:lang w:val="en-US" w:eastAsia="zh-CN" w:bidi="ar-SA"/>
        </w:rPr>
        <w:t>（3）依法缴纳税收和社会保障资金的相关材料；（提供提交投标文件截止时间前一年内至少一个月依法缴纳税收及缴纳社会保障资金的证明材料。供应商依法享受缓缴、免缴税收、社会保障资金的提供证明材料。）</w:t>
      </w:r>
    </w:p>
    <w:p w14:paraId="371EE1ED">
      <w:pPr>
        <w:pStyle w:val="11"/>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440" w:lineRule="exact"/>
        <w:ind w:left="0" w:right="0" w:firstLine="0"/>
        <w:textAlignment w:val="auto"/>
        <w:rPr>
          <w:rFonts w:hint="eastAsia" w:ascii="仿宋_GB2312" w:hAnsi="Calibri" w:eastAsia="仿宋_GB2312" w:cs="仿宋_GB2312"/>
          <w:color w:val="000000"/>
          <w:kern w:val="2"/>
          <w:sz w:val="28"/>
          <w:szCs w:val="28"/>
          <w:lang w:val="en-US" w:eastAsia="zh-CN" w:bidi="ar-SA"/>
        </w:rPr>
      </w:pPr>
      <w:r>
        <w:rPr>
          <w:rFonts w:hint="eastAsia" w:ascii="仿宋_GB2312" w:hAnsi="Calibri" w:eastAsia="仿宋_GB2312" w:cs="仿宋_GB2312"/>
          <w:color w:val="000000"/>
          <w:kern w:val="2"/>
          <w:sz w:val="28"/>
          <w:szCs w:val="28"/>
          <w:lang w:val="en-US" w:eastAsia="zh-CN" w:bidi="ar-SA"/>
        </w:rPr>
        <w:t>（4）具备履行合同所必需的设备和专业技术能力的书面声明；</w:t>
      </w:r>
    </w:p>
    <w:p w14:paraId="6CF07169">
      <w:pPr>
        <w:pStyle w:val="11"/>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440" w:lineRule="exact"/>
        <w:ind w:left="0" w:right="0" w:firstLine="0"/>
        <w:textAlignment w:val="auto"/>
        <w:rPr>
          <w:rFonts w:hint="eastAsia" w:ascii="仿宋_GB2312" w:hAnsi="Calibri" w:eastAsia="仿宋_GB2312" w:cs="仿宋_GB2312"/>
          <w:color w:val="000000"/>
          <w:kern w:val="2"/>
          <w:sz w:val="28"/>
          <w:szCs w:val="28"/>
          <w:lang w:val="en-US" w:eastAsia="zh-CN" w:bidi="ar-SA"/>
        </w:rPr>
      </w:pPr>
      <w:r>
        <w:rPr>
          <w:rFonts w:hint="eastAsia" w:ascii="仿宋_GB2312" w:hAnsi="Calibri" w:eastAsia="仿宋_GB2312" w:cs="仿宋_GB2312"/>
          <w:color w:val="000000"/>
          <w:kern w:val="2"/>
          <w:sz w:val="28"/>
          <w:szCs w:val="28"/>
          <w:lang w:val="en-US" w:eastAsia="zh-CN" w:bidi="ar-SA"/>
        </w:rPr>
        <w:t>（5）参加政府采购活动前3年内在经营活动中没有重大违法记录的书面声明；</w:t>
      </w:r>
    </w:p>
    <w:p w14:paraId="2A5AC581">
      <w:pPr>
        <w:keepNext w:val="0"/>
        <w:keepLines w:val="0"/>
        <w:pageBreakBefore w:val="0"/>
        <w:kinsoku/>
        <w:wordWrap/>
        <w:overflowPunct/>
        <w:topLinePunct w:val="0"/>
        <w:autoSpaceDE/>
        <w:autoSpaceDN/>
        <w:bidi w:val="0"/>
        <w:snapToGrid w:val="0"/>
        <w:spacing w:line="440" w:lineRule="exact"/>
        <w:ind w:firstLine="420" w:firstLineChars="150"/>
        <w:textAlignment w:val="auto"/>
        <w:rPr>
          <w:rFonts w:ascii="仿宋_GB2312" w:eastAsia="仿宋_GB2312" w:cs="仿宋_GB2312"/>
          <w:b/>
          <w:bCs/>
          <w:color w:val="FF0000"/>
          <w:sz w:val="28"/>
          <w:szCs w:val="28"/>
        </w:rPr>
      </w:pPr>
      <w:r>
        <w:rPr>
          <w:rFonts w:hint="eastAsia" w:ascii="仿宋_GB2312" w:eastAsia="仿宋_GB2312" w:cs="仿宋_GB2312"/>
          <w:color w:val="000000"/>
          <w:sz w:val="28"/>
          <w:szCs w:val="28"/>
        </w:rPr>
        <w:t>2.投标人必须具有独立承担民事责任的能力,具有三证合一的营业执照，经营范围与本次招标项目相关，为企业法人。</w:t>
      </w:r>
    </w:p>
    <w:p w14:paraId="5F2D3901">
      <w:pPr>
        <w:keepNext w:val="0"/>
        <w:keepLines w:val="0"/>
        <w:pageBreakBefore w:val="0"/>
        <w:kinsoku/>
        <w:wordWrap/>
        <w:overflowPunct/>
        <w:topLinePunct w:val="0"/>
        <w:autoSpaceDE/>
        <w:autoSpaceDN/>
        <w:bidi w:val="0"/>
        <w:snapToGrid w:val="0"/>
        <w:spacing w:line="440" w:lineRule="exact"/>
        <w:ind w:firstLine="560" w:firstLineChars="200"/>
        <w:textAlignment w:val="auto"/>
        <w:rPr>
          <w:rFonts w:hint="eastAsia" w:ascii="仿宋_GB2312" w:eastAsia="仿宋_GB2312" w:cs="仿宋_GB2312"/>
          <w:b/>
          <w:bCs/>
          <w:color w:val="000000"/>
          <w:sz w:val="28"/>
          <w:szCs w:val="28"/>
          <w:u w:val="single"/>
        </w:rPr>
      </w:pPr>
      <w:r>
        <w:rPr>
          <w:rFonts w:hint="eastAsia" w:ascii="仿宋_GB2312" w:eastAsia="仿宋_GB2312" w:cs="仿宋_GB2312"/>
          <w:color w:val="000000"/>
          <w:sz w:val="28"/>
          <w:szCs w:val="28"/>
        </w:rPr>
        <w:t>3.投标人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3011BFD1">
      <w:pPr>
        <w:keepNext w:val="0"/>
        <w:keepLines w:val="0"/>
        <w:pageBreakBefore w:val="0"/>
        <w:kinsoku/>
        <w:wordWrap/>
        <w:overflowPunct/>
        <w:topLinePunct w:val="0"/>
        <w:autoSpaceDE/>
        <w:autoSpaceDN/>
        <w:bidi w:val="0"/>
        <w:snapToGrid w:val="0"/>
        <w:spacing w:line="44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4.投标人未处于投标资格被取消或者财产被接管、冻结和破产状态；没有因骗取中标或严重违约以及发生重大质量、安全生产事故等问题被有关部门暂停投标资格并在暂停期内的。</w:t>
      </w:r>
    </w:p>
    <w:p w14:paraId="1FF079EC">
      <w:pPr>
        <w:keepNext w:val="0"/>
        <w:keepLines w:val="0"/>
        <w:pageBreakBefore w:val="0"/>
        <w:kinsoku/>
        <w:wordWrap/>
        <w:overflowPunct/>
        <w:topLinePunct w:val="0"/>
        <w:autoSpaceDE/>
        <w:autoSpaceDN/>
        <w:bidi w:val="0"/>
        <w:snapToGrid w:val="0"/>
        <w:spacing w:line="44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5.未被“信用中国”网站（www.creditchina.gov.cn）等列入失信被执行人、重大税收违法案件当事人名单、政府采购严重失信行为记录名单。投标人近5年内未因经营发生过有责任的法律纠纷。</w:t>
      </w:r>
    </w:p>
    <w:p w14:paraId="0806D493">
      <w:pPr>
        <w:keepNext w:val="0"/>
        <w:keepLines w:val="0"/>
        <w:pageBreakBefore w:val="0"/>
        <w:kinsoku/>
        <w:wordWrap/>
        <w:overflowPunct/>
        <w:topLinePunct w:val="0"/>
        <w:autoSpaceDE/>
        <w:autoSpaceDN/>
        <w:bidi w:val="0"/>
        <w:snapToGrid w:val="0"/>
        <w:spacing w:line="44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6.本项目不接受联合体投标，法定代表人为同一人或者存在直接控股、管理关系的不同投标人，不得同时参加本项目投标。</w:t>
      </w:r>
    </w:p>
    <w:p w14:paraId="37E5B32C">
      <w:pPr>
        <w:keepNext w:val="0"/>
        <w:keepLines w:val="0"/>
        <w:pageBreakBefore w:val="0"/>
        <w:kinsoku/>
        <w:wordWrap/>
        <w:overflowPunct/>
        <w:topLinePunct w:val="0"/>
        <w:autoSpaceDE/>
        <w:autoSpaceDN/>
        <w:bidi w:val="0"/>
        <w:spacing w:line="44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三、招标内容及要求</w:t>
      </w:r>
    </w:p>
    <w:p w14:paraId="4DEC20FC">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rPr>
        <w:t>1.招标内容：</w:t>
      </w:r>
      <w:r>
        <w:rPr>
          <w:rFonts w:hint="eastAsia" w:ascii="仿宋_GB2312" w:hAnsi="仿宋_GB2312" w:eastAsia="仿宋_GB2312" w:cs="仿宋_GB2312"/>
          <w:kern w:val="0"/>
          <w:sz w:val="28"/>
          <w:szCs w:val="28"/>
          <w:lang w:val="zh-TW"/>
        </w:rPr>
        <w:t>江苏省盐城技师学院</w:t>
      </w:r>
      <w:r>
        <w:rPr>
          <w:rFonts w:hint="eastAsia" w:ascii="仿宋_GB2312" w:hAnsi="仿宋_GB2312" w:eastAsia="仿宋_GB2312" w:cs="仿宋_GB2312"/>
          <w:kern w:val="0"/>
          <w:sz w:val="28"/>
          <w:szCs w:val="28"/>
          <w:lang w:val="en-US" w:eastAsia="zh-CN"/>
        </w:rPr>
        <w:t>建筑装饰项目设备</w:t>
      </w:r>
      <w:r>
        <w:rPr>
          <w:rFonts w:hint="eastAsia" w:ascii="仿宋_GB2312" w:hAnsi="仿宋_GB2312" w:eastAsia="仿宋_GB2312" w:cs="仿宋_GB2312"/>
          <w:kern w:val="0"/>
          <w:sz w:val="28"/>
          <w:szCs w:val="28"/>
          <w:lang w:val="zh-TW"/>
        </w:rPr>
        <w:t>采购项目</w:t>
      </w:r>
      <w:r>
        <w:rPr>
          <w:rFonts w:hint="eastAsia" w:ascii="仿宋_GB2312" w:hAnsi="仿宋_GB2312" w:eastAsia="仿宋_GB2312" w:cs="仿宋_GB2312"/>
          <w:kern w:val="0"/>
          <w:sz w:val="28"/>
          <w:szCs w:val="28"/>
          <w:lang w:val="en-US" w:eastAsia="zh-CN"/>
        </w:rPr>
        <w:t>。</w:t>
      </w:r>
    </w:p>
    <w:p w14:paraId="1C66D17D">
      <w:pPr>
        <w:keepNext w:val="0"/>
        <w:keepLines w:val="0"/>
        <w:pageBreakBefore w:val="0"/>
        <w:kinsoku/>
        <w:wordWrap/>
        <w:overflowPunct/>
        <w:topLinePunct w:val="0"/>
        <w:autoSpaceDE/>
        <w:autoSpaceDN/>
        <w:bidi w:val="0"/>
        <w:spacing w:line="44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2.质量标准：合格，按国家质量认证体系标准。</w:t>
      </w:r>
    </w:p>
    <w:p w14:paraId="2A097C74">
      <w:pPr>
        <w:keepNext w:val="0"/>
        <w:keepLines w:val="0"/>
        <w:pageBreakBefore w:val="0"/>
        <w:kinsoku/>
        <w:wordWrap/>
        <w:overflowPunct/>
        <w:topLinePunct w:val="0"/>
        <w:autoSpaceDE/>
        <w:autoSpaceDN/>
        <w:bidi w:val="0"/>
        <w:spacing w:line="440" w:lineRule="exact"/>
        <w:ind w:firstLine="560" w:firstLineChars="200"/>
        <w:textAlignment w:val="auto"/>
        <w:rPr>
          <w:rFonts w:hint="eastAsia" w:ascii="仿宋_GB2312" w:hAnsi="仿宋_GB2312" w:eastAsia="仿宋_GB2312" w:cs="仿宋_GB2312"/>
          <w:b/>
          <w:bCs/>
          <w:kern w:val="0"/>
          <w:sz w:val="28"/>
          <w:szCs w:val="28"/>
        </w:rPr>
      </w:pPr>
      <w:r>
        <w:rPr>
          <w:rFonts w:hint="eastAsia" w:ascii="仿宋_GB2312" w:hAnsi="仿宋_GB2312" w:eastAsia="仿宋_GB2312" w:cs="仿宋_GB2312"/>
          <w:kern w:val="0"/>
          <w:sz w:val="28"/>
          <w:szCs w:val="28"/>
        </w:rPr>
        <w:t>3.预算金额：</w:t>
      </w:r>
      <w:r>
        <w:rPr>
          <w:rFonts w:hint="eastAsia" w:ascii="仿宋_GB2312" w:hAnsi="仿宋_GB2312" w:eastAsia="仿宋_GB2312" w:cs="仿宋_GB2312"/>
          <w:b/>
          <w:bCs/>
          <w:kern w:val="0"/>
          <w:sz w:val="28"/>
          <w:szCs w:val="28"/>
          <w:lang w:val="en-US" w:eastAsia="zh-CN"/>
        </w:rPr>
        <w:t>38.04万元</w:t>
      </w:r>
      <w:r>
        <w:rPr>
          <w:rFonts w:hint="eastAsia" w:ascii="仿宋_GB2312" w:hAnsi="仿宋_GB2312" w:eastAsia="仿宋_GB2312" w:cs="仿宋_GB2312"/>
          <w:b/>
          <w:bCs/>
          <w:kern w:val="0"/>
          <w:sz w:val="28"/>
          <w:szCs w:val="28"/>
        </w:rPr>
        <w:t>。（超过预算的报价为无效报价）</w:t>
      </w:r>
    </w:p>
    <w:p w14:paraId="3B2FD61E">
      <w:pPr>
        <w:keepNext w:val="0"/>
        <w:keepLines w:val="0"/>
        <w:pageBreakBefore w:val="0"/>
        <w:kinsoku/>
        <w:wordWrap/>
        <w:overflowPunct/>
        <w:topLinePunct w:val="0"/>
        <w:autoSpaceDE/>
        <w:autoSpaceDN/>
        <w:bidi w:val="0"/>
        <w:spacing w:line="440" w:lineRule="exact"/>
        <w:ind w:firstLine="560" w:firstLineChars="200"/>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4.供货期限：</w:t>
      </w:r>
      <w:r>
        <w:rPr>
          <w:rFonts w:hint="eastAsia" w:ascii="仿宋_GB2312" w:hAnsi="仿宋_GB2312" w:eastAsia="仿宋_GB2312" w:cs="仿宋_GB2312"/>
          <w:kern w:val="0"/>
          <w:sz w:val="28"/>
          <w:szCs w:val="28"/>
          <w:lang w:val="en-US" w:eastAsia="zh-CN"/>
        </w:rPr>
        <w:t>签订合同后，30天内完成供货、安装、调试。</w:t>
      </w:r>
    </w:p>
    <w:p w14:paraId="6DB0A582">
      <w:pPr>
        <w:keepNext w:val="0"/>
        <w:keepLines w:val="0"/>
        <w:pageBreakBefore w:val="0"/>
        <w:kinsoku/>
        <w:wordWrap/>
        <w:overflowPunct/>
        <w:topLinePunct w:val="0"/>
        <w:autoSpaceDE/>
        <w:autoSpaceDN/>
        <w:bidi w:val="0"/>
        <w:spacing w:line="44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四、履约保证金</w:t>
      </w:r>
    </w:p>
    <w:p w14:paraId="0BA65EBB">
      <w:pPr>
        <w:keepNext w:val="0"/>
        <w:keepLines w:val="0"/>
        <w:pageBreakBefore w:val="0"/>
        <w:kinsoku/>
        <w:wordWrap/>
        <w:overflowPunct/>
        <w:topLinePunct w:val="0"/>
        <w:autoSpaceDE/>
        <w:autoSpaceDN/>
        <w:bidi w:val="0"/>
        <w:spacing w:line="44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1</w:t>
      </w:r>
      <w:r>
        <w:rPr>
          <w:rFonts w:hint="eastAsia" w:ascii="仿宋_GB2312" w:hAnsi="仿宋_GB2312" w:eastAsia="仿宋_GB2312" w:cs="仿宋_GB2312"/>
          <w:b/>
          <w:bCs/>
          <w:color w:val="000000"/>
          <w:sz w:val="28"/>
          <w:szCs w:val="28"/>
        </w:rPr>
        <w:t>.中标人于签订合前向招标人指定账号缴纳履约保证金</w:t>
      </w:r>
      <w:r>
        <w:rPr>
          <w:rFonts w:hint="eastAsia" w:ascii="仿宋_GB2312" w:hAnsi="仿宋_GB2312" w:eastAsia="仿宋_GB2312" w:cs="仿宋_GB2312"/>
          <w:b/>
          <w:bCs/>
          <w:color w:val="000000"/>
          <w:sz w:val="28"/>
          <w:szCs w:val="28"/>
          <w:lang w:val="en-US" w:eastAsia="zh-CN"/>
        </w:rPr>
        <w:t>10</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7E544123">
      <w:pPr>
        <w:keepNext w:val="0"/>
        <w:keepLines w:val="0"/>
        <w:pageBreakBefore w:val="0"/>
        <w:kinsoku/>
        <w:wordWrap/>
        <w:overflowPunct/>
        <w:topLinePunct w:val="0"/>
        <w:autoSpaceDE/>
        <w:autoSpaceDN/>
        <w:bidi w:val="0"/>
        <w:spacing w:line="440" w:lineRule="exact"/>
        <w:ind w:firstLine="560" w:firstLineChars="200"/>
        <w:textAlignment w:val="auto"/>
        <w:rPr>
          <w:rFonts w:ascii="黑体" w:hAnsi="黑体" w:eastAsia="黑体" w:cs="黑体"/>
          <w:b/>
          <w:bCs/>
          <w:sz w:val="28"/>
          <w:szCs w:val="28"/>
        </w:rPr>
      </w:pPr>
      <w:r>
        <w:rPr>
          <w:rFonts w:hint="eastAsia" w:ascii="仿宋_GB2312" w:hAnsi="仿宋_GB2312" w:eastAsia="仿宋_GB2312" w:cs="仿宋_GB2312"/>
          <w:color w:val="000000"/>
          <w:sz w:val="28"/>
          <w:szCs w:val="28"/>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 xml:space="preserve">履约保证金的退还：按合同要求供货，经验收合格，项目完成后全额退还（无息）。       </w:t>
      </w:r>
    </w:p>
    <w:p w14:paraId="2229338F">
      <w:pPr>
        <w:keepNext w:val="0"/>
        <w:keepLines w:val="0"/>
        <w:pageBreakBefore w:val="0"/>
        <w:kinsoku/>
        <w:wordWrap/>
        <w:overflowPunct/>
        <w:topLinePunct w:val="0"/>
        <w:autoSpaceDE/>
        <w:autoSpaceDN/>
        <w:bidi w:val="0"/>
        <w:spacing w:line="44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五、招标文件获取、投标文件递交截止时间、开标时间及地点</w:t>
      </w:r>
    </w:p>
    <w:p w14:paraId="0BD2105F">
      <w:pPr>
        <w:keepNext w:val="0"/>
        <w:keepLines w:val="0"/>
        <w:pageBreakBefore w:val="0"/>
        <w:kinsoku/>
        <w:wordWrap/>
        <w:overflowPunct/>
        <w:topLinePunct w:val="0"/>
        <w:autoSpaceDE/>
        <w:autoSpaceDN/>
        <w:bidi w:val="0"/>
        <w:adjustRightInd w:val="0"/>
        <w:snapToGrid w:val="0"/>
        <w:spacing w:line="440" w:lineRule="exact"/>
        <w:ind w:firstLine="560" w:firstLineChars="200"/>
        <w:textAlignment w:val="auto"/>
        <w:rPr>
          <w:rFonts w:hint="eastAsia" w:ascii="仿宋_GB2312" w:hAnsi="仿宋_GB2312" w:eastAsia="仿宋_GB2312" w:cs="仿宋_GB2312"/>
          <w:b/>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招标文件获取时间：</w:t>
      </w:r>
      <w:r>
        <w:rPr>
          <w:rFonts w:hint="eastAsia" w:ascii="仿宋_GB2312" w:hAnsi="仿宋_GB2312" w:eastAsia="仿宋_GB2312" w:cs="仿宋_GB2312"/>
          <w:b/>
          <w:color w:val="000000"/>
          <w:sz w:val="28"/>
          <w:szCs w:val="28"/>
          <w:u w:val="single"/>
        </w:rPr>
        <w:t>2025年</w:t>
      </w:r>
      <w:r>
        <w:rPr>
          <w:rFonts w:hint="eastAsia" w:ascii="仿宋_GB2312" w:hAnsi="仿宋_GB2312" w:eastAsia="仿宋_GB2312" w:cs="仿宋_GB2312"/>
          <w:b/>
          <w:color w:val="000000"/>
          <w:sz w:val="28"/>
          <w:szCs w:val="28"/>
          <w:u w:val="single"/>
          <w:lang w:val="en-US" w:eastAsia="zh-CN"/>
        </w:rPr>
        <w:t>12</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18</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12</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24</w:t>
      </w:r>
      <w:r>
        <w:rPr>
          <w:rFonts w:hint="eastAsia" w:ascii="仿宋_GB2312" w:hAnsi="仿宋_GB2312" w:eastAsia="仿宋_GB2312" w:cs="仿宋_GB2312"/>
          <w:b/>
          <w:color w:val="000000"/>
          <w:sz w:val="28"/>
          <w:szCs w:val="28"/>
          <w:u w:val="single"/>
        </w:rPr>
        <w:t>日（8:00——17:00）</w:t>
      </w:r>
      <w:r>
        <w:rPr>
          <w:rFonts w:hint="eastAsia" w:ascii="宋体" w:hAnsi="宋体" w:cs="宋体"/>
          <w:b/>
          <w:szCs w:val="21"/>
        </w:rPr>
        <w:t>每天</w:t>
      </w:r>
      <w:r>
        <w:rPr>
          <w:rFonts w:hint="eastAsia" w:ascii="仿宋_GB2312" w:hAnsi="仿宋_GB2312" w:eastAsia="仿宋_GB2312" w:cs="仿宋_GB2312"/>
          <w:b/>
          <w:color w:val="000000"/>
          <w:sz w:val="28"/>
          <w:szCs w:val="28"/>
          <w:u w:val="single"/>
        </w:rPr>
        <w:t>上午8:30至11:30，下午3:00至5:30（北京时间，法定节假日除外）；</w:t>
      </w:r>
    </w:p>
    <w:p w14:paraId="18BC24C9">
      <w:pPr>
        <w:keepNext w:val="0"/>
        <w:keepLines w:val="0"/>
        <w:pageBreakBefore w:val="0"/>
        <w:shd w:val="clear" w:color="auto" w:fill="FFFFFF"/>
        <w:kinsoku/>
        <w:wordWrap/>
        <w:overflowPunct/>
        <w:topLinePunct w:val="0"/>
        <w:autoSpaceDE/>
        <w:autoSpaceDN/>
        <w:bidi w:val="0"/>
        <w:spacing w:line="44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地点：江苏省盐城技师学院海洋路校区（盐城市盐都区海洋路29号匠心楼14楼1411办公室）。</w:t>
      </w:r>
    </w:p>
    <w:p w14:paraId="3BB8943C">
      <w:pPr>
        <w:keepNext w:val="0"/>
        <w:keepLines w:val="0"/>
        <w:pageBreakBefore w:val="0"/>
        <w:shd w:val="clear" w:color="auto" w:fill="FFFFFF"/>
        <w:kinsoku/>
        <w:wordWrap/>
        <w:overflowPunct/>
        <w:topLinePunct w:val="0"/>
        <w:autoSpaceDE/>
        <w:autoSpaceDN/>
        <w:bidi w:val="0"/>
        <w:spacing w:line="44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联系人：邵老师 0515—68661002/13905109103</w:t>
      </w:r>
    </w:p>
    <w:p w14:paraId="73F25E5B">
      <w:pPr>
        <w:keepNext w:val="0"/>
        <w:keepLines w:val="0"/>
        <w:pageBreakBefore w:val="0"/>
        <w:shd w:val="clear" w:color="auto" w:fill="FFFFFF"/>
        <w:kinsoku/>
        <w:wordWrap/>
        <w:overflowPunct/>
        <w:topLinePunct w:val="0"/>
        <w:autoSpaceDE/>
        <w:autoSpaceDN/>
        <w:bidi w:val="0"/>
        <w:spacing w:line="440" w:lineRule="exact"/>
        <w:ind w:firstLine="562" w:firstLineChars="200"/>
        <w:textAlignment w:val="auto"/>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获取文件时须提供营业执照复印件、法人授权书（如是法人则不需要），法人身份复印件、被授权人的身份证复印件并加盖公章，以及相关证书复印件（如有）。</w:t>
      </w:r>
    </w:p>
    <w:p w14:paraId="454236FB">
      <w:pPr>
        <w:pStyle w:val="19"/>
        <w:keepNext w:val="0"/>
        <w:keepLines w:val="0"/>
        <w:pageBreakBefore w:val="0"/>
        <w:kinsoku/>
        <w:wordWrap/>
        <w:overflowPunct/>
        <w:topLinePunct w:val="0"/>
        <w:autoSpaceDE/>
        <w:autoSpaceDN/>
        <w:bidi w:val="0"/>
        <w:spacing w:beforeAutospacing="0" w:afterAutospacing="0" w:line="440" w:lineRule="exact"/>
        <w:ind w:firstLine="480"/>
        <w:jc w:val="both"/>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sz w:val="28"/>
          <w:szCs w:val="28"/>
        </w:rPr>
        <w:t>投标人通过其他渠道获取的与本项目采购相关的资料，采购人一律不予承认且不承担由此引发的一切责任。</w:t>
      </w:r>
    </w:p>
    <w:p w14:paraId="466746CE">
      <w:pPr>
        <w:keepNext w:val="0"/>
        <w:keepLines w:val="0"/>
        <w:pageBreakBefore w:val="0"/>
        <w:shd w:val="clear" w:color="auto" w:fill="FFFFFF"/>
        <w:kinsoku/>
        <w:wordWrap/>
        <w:overflowPunct/>
        <w:topLinePunct w:val="0"/>
        <w:autoSpaceDE/>
        <w:autoSpaceDN/>
        <w:bidi w:val="0"/>
        <w:spacing w:line="440" w:lineRule="exact"/>
        <w:ind w:firstLine="560" w:firstLineChars="200"/>
        <w:textAlignment w:val="auto"/>
        <w:rPr>
          <w:rFonts w:hint="eastAsia" w:ascii="仿宋_GB2312" w:hAnsi="仿宋_GB2312" w:eastAsia="仿宋_GB2312" w:cs="仿宋_GB2312"/>
          <w:b/>
          <w:bCs/>
          <w:color w:val="000000"/>
          <w:sz w:val="28"/>
          <w:szCs w:val="28"/>
        </w:rPr>
      </w:pPr>
      <w:r>
        <w:rPr>
          <w:rFonts w:hint="eastAsia" w:ascii="仿宋_GB2312" w:hAnsi="仿宋_GB2312" w:eastAsia="仿宋_GB2312" w:cs="仿宋_GB2312"/>
          <w:color w:val="000000"/>
          <w:sz w:val="28"/>
          <w:szCs w:val="28"/>
        </w:rPr>
        <w:t>2.投标文件递交截止时间：</w:t>
      </w:r>
      <w:r>
        <w:rPr>
          <w:rFonts w:hint="eastAsia" w:ascii="仿宋_GB2312" w:hAnsi="仿宋_GB2312" w:eastAsia="仿宋_GB2312" w:cs="仿宋_GB2312"/>
          <w:b/>
          <w:bCs/>
          <w:color w:val="000000"/>
          <w:sz w:val="28"/>
          <w:szCs w:val="28"/>
        </w:rPr>
        <w:t>2025年</w:t>
      </w:r>
      <w:r>
        <w:rPr>
          <w:rFonts w:hint="eastAsia" w:ascii="仿宋_GB2312" w:hAnsi="仿宋_GB2312" w:eastAsia="仿宋_GB2312" w:cs="仿宋_GB2312"/>
          <w:b/>
          <w:bCs/>
          <w:color w:val="000000"/>
          <w:sz w:val="28"/>
          <w:szCs w:val="28"/>
          <w:lang w:val="en-US" w:eastAsia="zh-CN"/>
        </w:rPr>
        <w:t>12</w:t>
      </w:r>
      <w:r>
        <w:rPr>
          <w:rFonts w:hint="eastAsia" w:ascii="仿宋_GB2312" w:hAnsi="仿宋_GB2312" w:eastAsia="仿宋_GB2312" w:cs="仿宋_GB2312"/>
          <w:b/>
          <w:bCs/>
          <w:color w:val="000000"/>
          <w:sz w:val="28"/>
          <w:szCs w:val="28"/>
        </w:rPr>
        <w:t>月</w:t>
      </w:r>
      <w:r>
        <w:rPr>
          <w:rFonts w:hint="eastAsia" w:ascii="仿宋_GB2312" w:hAnsi="仿宋_GB2312" w:eastAsia="仿宋_GB2312" w:cs="仿宋_GB2312"/>
          <w:b/>
          <w:bCs/>
          <w:color w:val="000000"/>
          <w:sz w:val="28"/>
          <w:szCs w:val="28"/>
          <w:lang w:val="en-US" w:eastAsia="zh-CN"/>
        </w:rPr>
        <w:t>27</w:t>
      </w:r>
      <w:r>
        <w:rPr>
          <w:rFonts w:hint="eastAsia" w:ascii="仿宋_GB2312" w:hAnsi="仿宋_GB2312" w:eastAsia="仿宋_GB2312" w:cs="仿宋_GB2312"/>
          <w:b/>
          <w:bCs/>
          <w:color w:val="000000"/>
          <w:sz w:val="28"/>
          <w:szCs w:val="28"/>
        </w:rPr>
        <w:t>日</w:t>
      </w:r>
      <w:r>
        <w:rPr>
          <w:rFonts w:hint="eastAsia" w:ascii="仿宋_GB2312" w:hAnsi="仿宋_GB2312" w:eastAsia="仿宋_GB2312" w:cs="仿宋_GB2312"/>
          <w:b/>
          <w:bCs/>
          <w:color w:val="000000"/>
          <w:sz w:val="28"/>
          <w:szCs w:val="28"/>
          <w:lang w:val="en-US" w:eastAsia="zh-CN"/>
        </w:rPr>
        <w:t>09</w:t>
      </w:r>
      <w:r>
        <w:rPr>
          <w:rFonts w:hint="eastAsia" w:ascii="仿宋_GB2312" w:hAnsi="仿宋_GB2312" w:eastAsia="仿宋_GB2312" w:cs="仿宋_GB2312"/>
          <w:b/>
          <w:bCs/>
          <w:color w:val="000000"/>
          <w:sz w:val="28"/>
          <w:szCs w:val="28"/>
        </w:rPr>
        <w:t>时</w:t>
      </w:r>
      <w:r>
        <w:rPr>
          <w:rFonts w:hint="eastAsia" w:ascii="仿宋_GB2312" w:hAnsi="仿宋_GB2312" w:eastAsia="仿宋_GB2312" w:cs="仿宋_GB2312"/>
          <w:b/>
          <w:bCs/>
          <w:color w:val="000000"/>
          <w:sz w:val="28"/>
          <w:szCs w:val="28"/>
          <w:lang w:val="en-US" w:eastAsia="zh-CN"/>
        </w:rPr>
        <w:t>1</w:t>
      </w:r>
      <w:r>
        <w:rPr>
          <w:rFonts w:hint="eastAsia" w:ascii="仿宋_GB2312" w:hAnsi="仿宋_GB2312" w:eastAsia="仿宋_GB2312" w:cs="仿宋_GB2312"/>
          <w:b/>
          <w:bCs/>
          <w:color w:val="000000"/>
          <w:sz w:val="28"/>
          <w:szCs w:val="28"/>
        </w:rPr>
        <w:t>0分00秒；</w:t>
      </w:r>
    </w:p>
    <w:p w14:paraId="2BCC9332">
      <w:pPr>
        <w:keepNext w:val="0"/>
        <w:keepLines w:val="0"/>
        <w:pageBreakBefore w:val="0"/>
        <w:shd w:val="clear" w:color="auto" w:fill="FFFFFF"/>
        <w:kinsoku/>
        <w:wordWrap/>
        <w:overflowPunct/>
        <w:topLinePunct w:val="0"/>
        <w:autoSpaceDE/>
        <w:autoSpaceDN/>
        <w:bidi w:val="0"/>
        <w:spacing w:line="440" w:lineRule="exact"/>
        <w:ind w:firstLine="562" w:firstLineChars="200"/>
        <w:textAlignment w:val="auto"/>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3.开标时间：2025年</w:t>
      </w:r>
      <w:r>
        <w:rPr>
          <w:rFonts w:hint="eastAsia" w:ascii="仿宋_GB2312" w:hAnsi="仿宋_GB2312" w:eastAsia="仿宋_GB2312" w:cs="仿宋_GB2312"/>
          <w:b/>
          <w:bCs/>
          <w:color w:val="000000"/>
          <w:sz w:val="28"/>
          <w:szCs w:val="28"/>
          <w:lang w:val="en-US" w:eastAsia="zh-CN"/>
        </w:rPr>
        <w:t>12</w:t>
      </w:r>
      <w:r>
        <w:rPr>
          <w:rFonts w:hint="eastAsia" w:ascii="仿宋_GB2312" w:hAnsi="仿宋_GB2312" w:eastAsia="仿宋_GB2312" w:cs="仿宋_GB2312"/>
          <w:b/>
          <w:bCs/>
          <w:color w:val="000000"/>
          <w:sz w:val="28"/>
          <w:szCs w:val="28"/>
        </w:rPr>
        <w:t>月</w:t>
      </w:r>
      <w:r>
        <w:rPr>
          <w:rFonts w:hint="eastAsia" w:ascii="仿宋_GB2312" w:hAnsi="仿宋_GB2312" w:eastAsia="仿宋_GB2312" w:cs="仿宋_GB2312"/>
          <w:b/>
          <w:bCs/>
          <w:color w:val="000000"/>
          <w:sz w:val="28"/>
          <w:szCs w:val="28"/>
          <w:lang w:val="en-US" w:eastAsia="zh-CN"/>
        </w:rPr>
        <w:t>27</w:t>
      </w:r>
      <w:r>
        <w:rPr>
          <w:rFonts w:hint="eastAsia" w:ascii="仿宋_GB2312" w:hAnsi="仿宋_GB2312" w:eastAsia="仿宋_GB2312" w:cs="仿宋_GB2312"/>
          <w:b/>
          <w:bCs/>
          <w:color w:val="000000"/>
          <w:sz w:val="28"/>
          <w:szCs w:val="28"/>
        </w:rPr>
        <w:t>日</w:t>
      </w:r>
      <w:r>
        <w:rPr>
          <w:rFonts w:hint="eastAsia" w:ascii="仿宋_GB2312" w:hAnsi="仿宋_GB2312" w:eastAsia="仿宋_GB2312" w:cs="仿宋_GB2312"/>
          <w:b/>
          <w:bCs/>
          <w:color w:val="000000"/>
          <w:sz w:val="28"/>
          <w:szCs w:val="28"/>
          <w:lang w:val="en-US" w:eastAsia="zh-CN"/>
        </w:rPr>
        <w:t>09</w:t>
      </w:r>
      <w:r>
        <w:rPr>
          <w:rFonts w:hint="eastAsia" w:ascii="仿宋_GB2312" w:hAnsi="仿宋_GB2312" w:eastAsia="仿宋_GB2312" w:cs="仿宋_GB2312"/>
          <w:b/>
          <w:bCs/>
          <w:color w:val="000000"/>
          <w:sz w:val="28"/>
          <w:szCs w:val="28"/>
        </w:rPr>
        <w:t>时</w:t>
      </w:r>
      <w:r>
        <w:rPr>
          <w:rFonts w:hint="eastAsia" w:ascii="仿宋_GB2312" w:hAnsi="仿宋_GB2312" w:eastAsia="仿宋_GB2312" w:cs="仿宋_GB2312"/>
          <w:b/>
          <w:bCs/>
          <w:color w:val="000000"/>
          <w:sz w:val="28"/>
          <w:szCs w:val="28"/>
          <w:lang w:val="en-US" w:eastAsia="zh-CN"/>
        </w:rPr>
        <w:t>1</w:t>
      </w:r>
      <w:r>
        <w:rPr>
          <w:rFonts w:hint="eastAsia" w:ascii="仿宋_GB2312" w:hAnsi="仿宋_GB2312" w:eastAsia="仿宋_GB2312" w:cs="仿宋_GB2312"/>
          <w:b/>
          <w:bCs/>
          <w:color w:val="000000"/>
          <w:sz w:val="28"/>
          <w:szCs w:val="28"/>
        </w:rPr>
        <w:t>0分00秒；</w:t>
      </w:r>
    </w:p>
    <w:p w14:paraId="2AD5F9DC">
      <w:pPr>
        <w:keepNext w:val="0"/>
        <w:keepLines w:val="0"/>
        <w:pageBreakBefore w:val="0"/>
        <w:kinsoku/>
        <w:wordWrap/>
        <w:overflowPunct/>
        <w:topLinePunct w:val="0"/>
        <w:autoSpaceDE/>
        <w:autoSpaceDN/>
        <w:bidi w:val="0"/>
        <w:adjustRightInd w:val="0"/>
        <w:snapToGrid w:val="0"/>
        <w:spacing w:line="440" w:lineRule="exact"/>
        <w:ind w:firstLine="560" w:firstLineChars="200"/>
        <w:textAlignment w:val="auto"/>
        <w:rPr>
          <w:rFonts w:hint="eastAsia" w:ascii="仿宋_GB2312" w:hAnsi="??" w:eastAsia="仿宋_GB2312"/>
          <w:color w:val="000000"/>
          <w:sz w:val="28"/>
          <w:szCs w:val="28"/>
        </w:rPr>
      </w:pPr>
      <w:r>
        <w:rPr>
          <w:rFonts w:hint="eastAsia" w:ascii="仿宋_GB2312" w:hAnsi="??" w:eastAsia="仿宋_GB2312"/>
          <w:color w:val="000000"/>
          <w:sz w:val="28"/>
          <w:szCs w:val="28"/>
        </w:rPr>
        <w:t>4.投标文件递交及开标地点：江苏省盐城技师学院海洋路校区（盐城市盐都区海洋路29号匠心楼14楼1414会议室）；</w:t>
      </w:r>
    </w:p>
    <w:p w14:paraId="60C42740">
      <w:pPr>
        <w:keepNext w:val="0"/>
        <w:keepLines w:val="0"/>
        <w:pageBreakBefore w:val="0"/>
        <w:kinsoku/>
        <w:wordWrap/>
        <w:overflowPunct/>
        <w:topLinePunct w:val="0"/>
        <w:autoSpaceDE/>
        <w:autoSpaceDN/>
        <w:bidi w:val="0"/>
        <w:adjustRightInd w:val="0"/>
        <w:snapToGrid w:val="0"/>
        <w:spacing w:line="440" w:lineRule="exact"/>
        <w:ind w:firstLine="560" w:firstLineChars="200"/>
        <w:textAlignment w:val="auto"/>
        <w:rPr>
          <w:rFonts w:hint="eastAsia" w:ascii="仿宋_GB2312" w:hAnsi="??" w:eastAsia="仿宋_GB2312"/>
          <w:color w:val="000000"/>
          <w:sz w:val="28"/>
          <w:szCs w:val="28"/>
        </w:rPr>
      </w:pPr>
      <w:r>
        <w:rPr>
          <w:rFonts w:hint="eastAsia" w:ascii="仿宋_GB2312" w:hAnsi="??" w:eastAsia="仿宋_GB2312"/>
          <w:color w:val="000000"/>
          <w:sz w:val="28"/>
          <w:szCs w:val="28"/>
        </w:rPr>
        <w:t>5.招标人可以按照规定，通过修改招标文件有权酌情延长投标截止日期，在此情况下，投标人的所有权利和义务以及投标人受制的截止日期均应以延长后新的截止日期为准；</w:t>
      </w:r>
    </w:p>
    <w:p w14:paraId="553A0CBB">
      <w:pPr>
        <w:keepNext w:val="0"/>
        <w:keepLines w:val="0"/>
        <w:pageBreakBefore w:val="0"/>
        <w:kinsoku/>
        <w:wordWrap/>
        <w:overflowPunct/>
        <w:topLinePunct w:val="0"/>
        <w:autoSpaceDE/>
        <w:autoSpaceDN/>
        <w:bidi w:val="0"/>
        <w:adjustRightInd w:val="0"/>
        <w:snapToGrid w:val="0"/>
        <w:spacing w:line="440" w:lineRule="exact"/>
        <w:ind w:firstLine="560" w:firstLineChars="200"/>
        <w:textAlignment w:val="auto"/>
        <w:rPr>
          <w:rFonts w:ascii="仿宋_GB2312" w:hAnsi="仿宋_GB2312"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招标（采购）资料费200</w:t>
      </w:r>
      <w:r>
        <w:rPr>
          <w:rFonts w:ascii="仿宋_GB2312" w:hAnsi="??" w:eastAsia="仿宋_GB2312" w:cs="仿宋_GB2312"/>
          <w:color w:val="000000"/>
          <w:sz w:val="28"/>
          <w:szCs w:val="28"/>
        </w:rPr>
        <w:t xml:space="preserve"> </w:t>
      </w:r>
      <w:r>
        <w:rPr>
          <w:rFonts w:hint="eastAsia" w:ascii="仿宋_GB2312" w:hAnsi="??" w:eastAsia="仿宋_GB2312" w:cs="仿宋_GB2312"/>
          <w:color w:val="000000"/>
          <w:sz w:val="28"/>
          <w:szCs w:val="28"/>
        </w:rPr>
        <w:t>元，投标人交纳的招标（采购）资料费，售后不退。</w:t>
      </w:r>
    </w:p>
    <w:p w14:paraId="24A998CB">
      <w:pPr>
        <w:keepNext w:val="0"/>
        <w:keepLines w:val="0"/>
        <w:pageBreakBefore w:val="0"/>
        <w:kinsoku/>
        <w:wordWrap/>
        <w:overflowPunct/>
        <w:topLinePunct w:val="0"/>
        <w:autoSpaceDE/>
        <w:autoSpaceDN/>
        <w:bidi w:val="0"/>
        <w:adjustRightInd w:val="0"/>
        <w:snapToGrid w:val="0"/>
        <w:spacing w:line="440" w:lineRule="exact"/>
        <w:ind w:firstLine="560" w:firstLineChars="200"/>
        <w:textAlignment w:val="auto"/>
        <w:rPr>
          <w:rFonts w:ascii="仿宋_GB2312" w:hAnsi="仿宋_GB2312" w:eastAsia="仿宋_GB2312" w:cs="仿宋_GB2312"/>
          <w:b/>
          <w:bCs/>
          <w:color w:val="000000"/>
          <w:sz w:val="28"/>
          <w:szCs w:val="28"/>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王老师/邵老师，办公电话：0515—68661002），对于无故临时放弃投标的投标人，我校将根据情况将投标单位纳入招投标黑名单。对您的支持与配合，谨此致谢。</w:t>
      </w:r>
    </w:p>
    <w:p w14:paraId="2DDB5DB6">
      <w:pPr>
        <w:keepNext w:val="0"/>
        <w:keepLines w:val="0"/>
        <w:pageBreakBefore w:val="0"/>
        <w:kinsoku/>
        <w:wordWrap/>
        <w:overflowPunct/>
        <w:topLinePunct w:val="0"/>
        <w:autoSpaceDE/>
        <w:autoSpaceDN/>
        <w:bidi w:val="0"/>
        <w:adjustRightInd w:val="0"/>
        <w:snapToGrid w:val="0"/>
        <w:spacing w:line="440" w:lineRule="exact"/>
        <w:ind w:firstLine="562" w:firstLineChars="200"/>
        <w:textAlignment w:val="auto"/>
        <w:rPr>
          <w:rFonts w:hint="eastAsia" w:ascii="仿宋_GB2312" w:hAnsi="??" w:eastAsia="仿宋_GB2312" w:cs="仿宋_GB2312"/>
          <w:b/>
          <w:bCs/>
          <w:color w:val="000000"/>
          <w:sz w:val="28"/>
          <w:szCs w:val="28"/>
        </w:rPr>
      </w:pPr>
      <w:r>
        <w:rPr>
          <w:rFonts w:hint="eastAsia" w:ascii="仿宋_GB2312" w:hAnsi="??" w:eastAsia="仿宋_GB2312" w:cs="仿宋_GB2312"/>
          <w:b/>
          <w:bCs/>
          <w:color w:val="000000"/>
          <w:sz w:val="28"/>
          <w:szCs w:val="28"/>
        </w:rPr>
        <w:t>特别提醒：</w:t>
      </w:r>
    </w:p>
    <w:p w14:paraId="64891B30">
      <w:pPr>
        <w:keepNext w:val="0"/>
        <w:keepLines w:val="0"/>
        <w:pageBreakBefore w:val="0"/>
        <w:kinsoku/>
        <w:wordWrap/>
        <w:overflowPunct/>
        <w:topLinePunct w:val="0"/>
        <w:autoSpaceDE/>
        <w:autoSpaceDN/>
        <w:bidi w:val="0"/>
        <w:adjustRightInd w:val="0"/>
        <w:snapToGrid w:val="0"/>
        <w:spacing w:line="440" w:lineRule="exact"/>
        <w:ind w:firstLine="562" w:firstLineChars="200"/>
        <w:textAlignment w:val="auto"/>
        <w:rPr>
          <w:rFonts w:hint="eastAsia" w:ascii="仿宋_GB2312" w:hAnsi="??" w:eastAsia="仿宋_GB2312" w:cs="仿宋_GB2312"/>
          <w:b/>
          <w:bCs/>
          <w:color w:val="000000"/>
          <w:sz w:val="28"/>
          <w:szCs w:val="28"/>
        </w:rPr>
      </w:pPr>
      <w:r>
        <w:rPr>
          <w:rFonts w:hint="eastAsia" w:ascii="仿宋_GB2312" w:hAnsi="??" w:eastAsia="仿宋_GB2312" w:cs="仿宋_GB2312"/>
          <w:b/>
          <w:bCs/>
          <w:color w:val="000000"/>
          <w:sz w:val="28"/>
          <w:szCs w:val="28"/>
        </w:rPr>
        <w:t>招标人会根据招标需要，可能会不定期在“江苏省盐城技师学院官网”发布该项目补充答疑等澄清修改文件，请各投标人自行网上查寻，未能及时查阅响应而影响投标的，结果由投标人负责。</w:t>
      </w:r>
    </w:p>
    <w:p w14:paraId="7CB67CAA">
      <w:pPr>
        <w:keepNext w:val="0"/>
        <w:keepLines w:val="0"/>
        <w:pageBreakBefore w:val="0"/>
        <w:kinsoku/>
        <w:wordWrap/>
        <w:overflowPunct/>
        <w:topLinePunct w:val="0"/>
        <w:autoSpaceDE/>
        <w:autoSpaceDN/>
        <w:bidi w:val="0"/>
        <w:spacing w:line="440" w:lineRule="exact"/>
        <w:ind w:firstLine="562" w:firstLineChars="200"/>
        <w:textAlignment w:val="auto"/>
        <w:rPr>
          <w:rFonts w:hint="eastAsia" w:ascii="黑体" w:hAnsi="黑体" w:eastAsia="黑体" w:cs="黑体"/>
          <w:b/>
          <w:bCs/>
          <w:sz w:val="28"/>
          <w:szCs w:val="28"/>
        </w:rPr>
      </w:pPr>
      <w:r>
        <w:rPr>
          <w:rFonts w:hint="eastAsia" w:ascii="黑体" w:hAnsi="黑体" w:eastAsia="黑体" w:cs="黑体"/>
          <w:b/>
          <w:bCs/>
          <w:sz w:val="28"/>
          <w:szCs w:val="28"/>
        </w:rPr>
        <w:t>六、其他</w:t>
      </w:r>
    </w:p>
    <w:p w14:paraId="0A091108">
      <w:pPr>
        <w:keepNext w:val="0"/>
        <w:keepLines w:val="0"/>
        <w:pageBreakBefore w:val="0"/>
        <w:kinsoku/>
        <w:wordWrap/>
        <w:overflowPunct/>
        <w:topLinePunct w:val="0"/>
        <w:autoSpaceDE/>
        <w:autoSpaceDN/>
        <w:bidi w:val="0"/>
        <w:spacing w:line="44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为确保校园安全，投标人进入江苏省盐城技师学院海洋路校区时应服从下列规定：</w:t>
      </w:r>
    </w:p>
    <w:p w14:paraId="17EBEE52">
      <w:pPr>
        <w:keepNext w:val="0"/>
        <w:keepLines w:val="0"/>
        <w:pageBreakBefore w:val="0"/>
        <w:kinsoku/>
        <w:wordWrap/>
        <w:overflowPunct/>
        <w:topLinePunct w:val="0"/>
        <w:autoSpaceDE/>
        <w:autoSpaceDN/>
        <w:bidi w:val="0"/>
        <w:spacing w:line="44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（1）投标人从学校东大门进出；投标人车辆一律不得进入校园。</w:t>
      </w:r>
    </w:p>
    <w:p w14:paraId="2A26DD60">
      <w:pPr>
        <w:keepNext w:val="0"/>
        <w:keepLines w:val="0"/>
        <w:pageBreakBefore w:val="0"/>
        <w:kinsoku/>
        <w:wordWrap/>
        <w:overflowPunct/>
        <w:topLinePunct w:val="0"/>
        <w:autoSpaceDE/>
        <w:autoSpaceDN/>
        <w:bidi w:val="0"/>
        <w:spacing w:line="44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（2）授权代表限1人进入校园，进入校园前须在东大门外相关工作人员处进行信息实名登记。请投标人注意投标截止时间。</w:t>
      </w:r>
    </w:p>
    <w:p w14:paraId="64B87B9E">
      <w:pPr>
        <w:keepNext w:val="0"/>
        <w:keepLines w:val="0"/>
        <w:pageBreakBefore w:val="0"/>
        <w:kinsoku/>
        <w:wordWrap/>
        <w:overflowPunct/>
        <w:topLinePunct w:val="0"/>
        <w:autoSpaceDE/>
        <w:autoSpaceDN/>
        <w:bidi w:val="0"/>
        <w:spacing w:line="44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（3）投标人进入校园后应在指定地点参与投标活动，不到非相关场所活动；投标工作结束后应立即离开校园，不逗留。</w:t>
      </w:r>
    </w:p>
    <w:p w14:paraId="7C60B529">
      <w:pPr>
        <w:spacing w:line="560" w:lineRule="exact"/>
        <w:ind w:firstLine="562" w:firstLineChars="200"/>
        <w:rPr>
          <w:rFonts w:hint="eastAsia" w:ascii="黑体" w:hAnsi="黑体" w:eastAsia="黑体" w:cs="黑体"/>
          <w:b/>
          <w:bCs/>
          <w:sz w:val="28"/>
          <w:szCs w:val="28"/>
        </w:rPr>
      </w:pPr>
      <w:r>
        <w:rPr>
          <w:rFonts w:hint="eastAsia" w:ascii="黑体" w:hAnsi="黑体" w:eastAsia="黑体" w:cs="黑体"/>
          <w:b/>
          <w:bCs/>
          <w:sz w:val="28"/>
          <w:szCs w:val="28"/>
        </w:rPr>
        <w:t>七、招标人联系方式</w:t>
      </w:r>
    </w:p>
    <w:tbl>
      <w:tblPr>
        <w:tblStyle w:val="15"/>
        <w:tblW w:w="9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3"/>
        <w:gridCol w:w="8096"/>
      </w:tblGrid>
      <w:tr w14:paraId="6B473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403" w:type="dxa"/>
            <w:noWrap w:val="0"/>
            <w:vAlign w:val="top"/>
          </w:tcPr>
          <w:p w14:paraId="05C2B32E">
            <w:pPr>
              <w:pStyle w:val="12"/>
              <w:ind w:firstLine="0" w:firstLineChars="0"/>
              <w:rPr>
                <w:rFonts w:hint="eastAsia" w:ascii="黑体" w:hAnsi="黑体" w:eastAsia="黑体" w:cs="黑体"/>
                <w:b/>
                <w:bCs/>
                <w:sz w:val="28"/>
                <w:szCs w:val="28"/>
              </w:rPr>
            </w:pPr>
            <w:r>
              <w:rPr>
                <w:rFonts w:hint="eastAsia" w:ascii="仿宋" w:hAnsi="仿宋" w:eastAsia="仿宋" w:cs="仿宋"/>
                <w:color w:val="000000"/>
                <w:sz w:val="28"/>
                <w:szCs w:val="28"/>
              </w:rPr>
              <w:t>联系人</w:t>
            </w:r>
          </w:p>
        </w:tc>
        <w:tc>
          <w:tcPr>
            <w:tcW w:w="8096" w:type="dxa"/>
            <w:noWrap w:val="0"/>
            <w:vAlign w:val="top"/>
          </w:tcPr>
          <w:p w14:paraId="558DE994">
            <w:pPr>
              <w:pStyle w:val="12"/>
              <w:ind w:firstLine="0" w:firstLineChars="0"/>
              <w:jc w:val="center"/>
              <w:rPr>
                <w:rFonts w:hint="eastAsia" w:ascii="黑体" w:hAnsi="黑体" w:eastAsia="黑体" w:cs="黑体"/>
                <w:b/>
                <w:bCs/>
                <w:sz w:val="28"/>
                <w:szCs w:val="28"/>
              </w:rPr>
            </w:pPr>
            <w:r>
              <w:rPr>
                <w:rFonts w:hint="eastAsia" w:ascii="仿宋" w:hAnsi="仿宋" w:eastAsia="仿宋" w:cs="仿宋"/>
                <w:color w:val="000000"/>
                <w:sz w:val="28"/>
                <w:szCs w:val="28"/>
              </w:rPr>
              <w:t>邵老师</w:t>
            </w:r>
          </w:p>
        </w:tc>
      </w:tr>
      <w:tr w14:paraId="2677A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403" w:type="dxa"/>
            <w:noWrap w:val="0"/>
            <w:vAlign w:val="top"/>
          </w:tcPr>
          <w:p w14:paraId="14BF767F">
            <w:pPr>
              <w:pStyle w:val="12"/>
              <w:ind w:firstLine="0" w:firstLineChars="0"/>
              <w:rPr>
                <w:rFonts w:hint="eastAsia" w:ascii="黑体" w:hAnsi="黑体" w:eastAsia="黑体" w:cs="黑体"/>
                <w:b/>
                <w:bCs/>
                <w:sz w:val="28"/>
                <w:szCs w:val="28"/>
              </w:rPr>
            </w:pPr>
            <w:r>
              <w:rPr>
                <w:rFonts w:hint="eastAsia" w:ascii="仿宋" w:hAnsi="仿宋" w:eastAsia="仿宋" w:cs="仿宋"/>
                <w:color w:val="000000"/>
                <w:sz w:val="28"/>
                <w:szCs w:val="28"/>
              </w:rPr>
              <w:t>电 话</w:t>
            </w:r>
          </w:p>
        </w:tc>
        <w:tc>
          <w:tcPr>
            <w:tcW w:w="8096" w:type="dxa"/>
            <w:noWrap w:val="0"/>
            <w:vAlign w:val="top"/>
          </w:tcPr>
          <w:p w14:paraId="1FD3DF5F">
            <w:pPr>
              <w:pStyle w:val="12"/>
              <w:ind w:firstLine="280"/>
              <w:jc w:val="center"/>
              <w:rPr>
                <w:rFonts w:hint="eastAsia" w:ascii="黑体" w:hAnsi="黑体" w:eastAsia="黑体" w:cs="黑体"/>
                <w:b/>
                <w:bCs/>
                <w:sz w:val="28"/>
                <w:szCs w:val="28"/>
              </w:rPr>
            </w:pPr>
            <w:r>
              <w:rPr>
                <w:rFonts w:hint="eastAsia" w:ascii="仿宋" w:hAnsi="仿宋" w:eastAsia="仿宋" w:cs="仿宋"/>
                <w:color w:val="000000"/>
                <w:sz w:val="28"/>
                <w:szCs w:val="28"/>
              </w:rPr>
              <w:t>0515-68661002/13905109103</w:t>
            </w:r>
          </w:p>
        </w:tc>
      </w:tr>
      <w:tr w14:paraId="3BB44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exact"/>
        </w:trPr>
        <w:tc>
          <w:tcPr>
            <w:tcW w:w="1403" w:type="dxa"/>
            <w:noWrap w:val="0"/>
            <w:vAlign w:val="top"/>
          </w:tcPr>
          <w:p w14:paraId="5A291667">
            <w:pPr>
              <w:pStyle w:val="12"/>
              <w:ind w:firstLine="0" w:firstLineChars="0"/>
              <w:rPr>
                <w:rFonts w:hint="eastAsia" w:ascii="黑体" w:hAnsi="黑体" w:eastAsia="黑体" w:cs="黑体"/>
                <w:b/>
                <w:bCs/>
                <w:sz w:val="28"/>
                <w:szCs w:val="28"/>
              </w:rPr>
            </w:pPr>
            <w:r>
              <w:rPr>
                <w:rFonts w:hint="eastAsia" w:ascii="仿宋" w:hAnsi="仿宋" w:eastAsia="仿宋" w:cs="仿宋"/>
                <w:color w:val="000000"/>
                <w:sz w:val="28"/>
                <w:szCs w:val="28"/>
                <w:lang w:val="zh-CN"/>
              </w:rPr>
              <w:t>联系地址</w:t>
            </w:r>
          </w:p>
        </w:tc>
        <w:tc>
          <w:tcPr>
            <w:tcW w:w="8096" w:type="dxa"/>
            <w:noWrap w:val="0"/>
            <w:vAlign w:val="top"/>
          </w:tcPr>
          <w:p w14:paraId="0D69214B">
            <w:pPr>
              <w:pStyle w:val="12"/>
              <w:ind w:firstLine="280"/>
              <w:rPr>
                <w:rFonts w:hint="eastAsia" w:ascii="黑体" w:hAnsi="黑体" w:eastAsia="黑体" w:cs="黑体"/>
                <w:b/>
                <w:bCs/>
                <w:sz w:val="28"/>
                <w:szCs w:val="28"/>
              </w:rPr>
            </w:pPr>
            <w:r>
              <w:rPr>
                <w:rFonts w:hint="eastAsia" w:ascii="仿宋" w:hAnsi="仿宋" w:eastAsia="仿宋" w:cs="仿宋"/>
                <w:color w:val="000000"/>
                <w:sz w:val="28"/>
                <w:szCs w:val="28"/>
              </w:rPr>
              <w:t>盐城市盐都区海洋路29号匠心楼14楼1412办公室</w:t>
            </w:r>
          </w:p>
        </w:tc>
      </w:tr>
    </w:tbl>
    <w:p w14:paraId="468086DC">
      <w:pPr>
        <w:rPr>
          <w:rFonts w:hint="eastAsia"/>
        </w:rPr>
      </w:pPr>
    </w:p>
    <w:p w14:paraId="1517B485">
      <w:pPr>
        <w:pStyle w:val="10"/>
        <w:rPr>
          <w:rFonts w:hint="eastAsia"/>
        </w:rPr>
      </w:pPr>
    </w:p>
    <w:p w14:paraId="771777CA">
      <w:pPr>
        <w:spacing w:before="156" w:beforeLines="50" w:after="156" w:afterLines="50" w:line="480" w:lineRule="exact"/>
        <w:jc w:val="center"/>
        <w:rPr>
          <w:rFonts w:hint="eastAsia" w:eastAsia="黑体"/>
          <w:sz w:val="44"/>
        </w:rPr>
      </w:pPr>
    </w:p>
    <w:p w14:paraId="40E7325F">
      <w:pPr>
        <w:pStyle w:val="13"/>
        <w:rPr>
          <w:rFonts w:hint="eastAsia" w:eastAsia="黑体"/>
          <w:sz w:val="44"/>
        </w:rPr>
      </w:pPr>
    </w:p>
    <w:p w14:paraId="74D29BE6">
      <w:pPr>
        <w:spacing w:before="156" w:beforeLines="50" w:after="156" w:afterLines="50" w:line="480" w:lineRule="exact"/>
        <w:jc w:val="center"/>
        <w:rPr>
          <w:rFonts w:hint="eastAsia" w:eastAsia="黑体"/>
          <w:sz w:val="44"/>
        </w:rPr>
      </w:pPr>
    </w:p>
    <w:p w14:paraId="576CE118">
      <w:pPr>
        <w:spacing w:before="156" w:beforeLines="50" w:after="156" w:afterLines="50" w:line="480" w:lineRule="exact"/>
        <w:jc w:val="center"/>
        <w:rPr>
          <w:rFonts w:hint="eastAsia" w:eastAsia="黑体"/>
          <w:sz w:val="44"/>
        </w:rPr>
      </w:pPr>
    </w:p>
    <w:p w14:paraId="04CDE54E">
      <w:pPr>
        <w:spacing w:before="156" w:beforeLines="50" w:after="156" w:afterLines="50" w:line="480" w:lineRule="exact"/>
        <w:jc w:val="center"/>
        <w:rPr>
          <w:rFonts w:hint="eastAsia" w:eastAsia="黑体"/>
          <w:sz w:val="44"/>
        </w:rPr>
      </w:pPr>
    </w:p>
    <w:p w14:paraId="25D99FE8">
      <w:pPr>
        <w:spacing w:before="156" w:beforeLines="50" w:after="156" w:afterLines="50" w:line="480" w:lineRule="exact"/>
        <w:jc w:val="center"/>
        <w:rPr>
          <w:rFonts w:hint="eastAsia" w:eastAsia="黑体"/>
          <w:sz w:val="44"/>
        </w:rPr>
      </w:pPr>
    </w:p>
    <w:p w14:paraId="3349B2FA">
      <w:pPr>
        <w:spacing w:before="156" w:beforeLines="50" w:after="156" w:afterLines="50" w:line="480" w:lineRule="exact"/>
        <w:jc w:val="center"/>
        <w:rPr>
          <w:rFonts w:hint="eastAsia" w:eastAsia="黑体"/>
          <w:sz w:val="44"/>
        </w:rPr>
      </w:pPr>
    </w:p>
    <w:p w14:paraId="45971234">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
    <w:altName w:val="Times New Roman"/>
    <w:panose1 w:val="00000000000000000000"/>
    <w:charset w:val="00"/>
    <w:family w:val="roman"/>
    <w:pitch w:val="default"/>
    <w:sig w:usb0="00000000" w:usb1="00000000" w:usb2="00000000" w:usb3="00000000" w:csb0="00000001" w:csb1="00000000"/>
  </w:font>
  <w:font w:name="方正小标宋_GBK">
    <w:altName w:val="微软雅黑"/>
    <w:panose1 w:val="020B0503020202020204"/>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6AF6AB">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A8217FF">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7A8217FF">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DD16DF"/>
    <w:rsid w:val="240F3163"/>
    <w:rsid w:val="2A815E6A"/>
    <w:rsid w:val="2F040084"/>
    <w:rsid w:val="2F3B2E93"/>
    <w:rsid w:val="30FF78EC"/>
    <w:rsid w:val="34E86675"/>
    <w:rsid w:val="3DBD0C2F"/>
    <w:rsid w:val="3FBD3285"/>
    <w:rsid w:val="50580FC6"/>
    <w:rsid w:val="67F26BC2"/>
    <w:rsid w:val="68236175"/>
    <w:rsid w:val="68DD16DF"/>
    <w:rsid w:val="6F1766A1"/>
    <w:rsid w:val="763673EE"/>
    <w:rsid w:val="79511F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qFormat/>
    <w:uiPriority w:val="0"/>
    <w:pPr>
      <w:spacing w:before="340" w:after="330" w:line="578" w:lineRule="auto"/>
      <w:outlineLvl w:val="0"/>
    </w:pPr>
    <w:rPr>
      <w:b w:val="0"/>
      <w:bCs w:val="0"/>
      <w:kern w:val="44"/>
      <w:sz w:val="44"/>
      <w:szCs w:val="44"/>
    </w:rPr>
  </w:style>
  <w:style w:type="paragraph" w:styleId="4">
    <w:name w:val="heading 2"/>
    <w:basedOn w:val="1"/>
    <w:next w:val="1"/>
    <w:qFormat/>
    <w:uiPriority w:val="0"/>
    <w:pPr>
      <w:keepNext/>
      <w:keepLines/>
      <w:widowControl w:val="0"/>
      <w:spacing w:before="260" w:after="260" w:line="415" w:lineRule="auto"/>
      <w:jc w:val="both"/>
      <w:outlineLvl w:val="1"/>
    </w:pPr>
    <w:rPr>
      <w:rFonts w:ascii="Arial" w:hAnsi="Arial" w:eastAsia="黑体"/>
      <w:b/>
      <w:bCs/>
      <w:kern w:val="1"/>
      <w:sz w:val="32"/>
      <w:szCs w:val="32"/>
      <w:lang w:val="en-US" w:eastAsia="zh-CN" w:bidi="ar-SA"/>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pPr>
      <w:spacing w:after="120"/>
    </w:pPr>
  </w:style>
  <w:style w:type="paragraph" w:styleId="6">
    <w:name w:val="Body Text Indent"/>
    <w:basedOn w:val="1"/>
    <w:next w:val="7"/>
    <w:qFormat/>
    <w:uiPriority w:val="0"/>
    <w:pPr>
      <w:ind w:left="-105" w:firstLine="232" w:firstLineChars="232"/>
    </w:pPr>
    <w:rPr>
      <w:rFonts w:eastAsia="仿宋_GB2312"/>
      <w:sz w:val="32"/>
    </w:rPr>
  </w:style>
  <w:style w:type="paragraph" w:styleId="7">
    <w:name w:val="envelope return"/>
    <w:basedOn w:val="1"/>
    <w:qFormat/>
    <w:uiPriority w:val="0"/>
    <w:pPr>
      <w:spacing w:line="360" w:lineRule="auto"/>
    </w:pPr>
    <w:rPr>
      <w:rFonts w:ascii="Arial" w:hAnsi="Arial" w:eastAsia="仿宋" w:cs="Arial"/>
      <w:sz w:val="28"/>
      <w:szCs w:val="21"/>
    </w:rPr>
  </w:style>
  <w:style w:type="paragraph" w:styleId="8">
    <w:name w:val="Plain Text"/>
    <w:basedOn w:val="1"/>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9">
    <w:name w:val="footer"/>
    <w:basedOn w:val="1"/>
    <w:next w:val="1"/>
    <w:qFormat/>
    <w:uiPriority w:val="0"/>
    <w:pPr>
      <w:tabs>
        <w:tab w:val="center" w:pos="4153"/>
        <w:tab w:val="right" w:pos="8306"/>
      </w:tabs>
      <w:snapToGrid w:val="0"/>
      <w:jc w:val="left"/>
    </w:pPr>
    <w:rPr>
      <w:sz w:val="18"/>
      <w:szCs w:val="18"/>
    </w:rPr>
  </w:style>
  <w:style w:type="paragraph" w:styleId="10">
    <w:name w:val="Message Header"/>
    <w:basedOn w:val="1"/>
    <w:next w:val="1"/>
    <w:qFormat/>
    <w:uiPriority w:val="0"/>
    <w:pPr>
      <w:adjustRightInd w:val="0"/>
    </w:pPr>
    <w:rPr>
      <w:rFonts w:ascii="Arial" w:hAnsi="Arial"/>
    </w:rPr>
  </w:style>
  <w:style w:type="paragraph" w:styleId="11">
    <w:name w:val="Normal (Web)"/>
    <w:basedOn w:val="1"/>
    <w:qFormat/>
    <w:uiPriority w:val="0"/>
    <w:pPr>
      <w:widowControl/>
      <w:spacing w:before="100" w:beforeAutospacing="1" w:after="100" w:afterAutospacing="1"/>
      <w:jc w:val="left"/>
    </w:pPr>
    <w:rPr>
      <w:rFonts w:ascii="宋体" w:hAnsi="宋体"/>
      <w:color w:val="000000"/>
      <w:kern w:val="0"/>
      <w:sz w:val="24"/>
    </w:rPr>
  </w:style>
  <w:style w:type="paragraph" w:styleId="12">
    <w:name w:val="Body Text First Indent"/>
    <w:basedOn w:val="5"/>
    <w:qFormat/>
    <w:uiPriority w:val="0"/>
    <w:pPr>
      <w:spacing w:after="120" w:line="240" w:lineRule="auto"/>
      <w:ind w:firstLine="420" w:firstLineChars="100"/>
    </w:pPr>
    <w:rPr>
      <w:szCs w:val="24"/>
    </w:rPr>
  </w:style>
  <w:style w:type="paragraph" w:styleId="13">
    <w:name w:val="Body Text First Indent 2"/>
    <w:basedOn w:val="6"/>
    <w:next w:val="14"/>
    <w:qFormat/>
    <w:uiPriority w:val="0"/>
    <w:pPr>
      <w:spacing w:line="360" w:lineRule="auto"/>
      <w:ind w:firstLine="420"/>
    </w:pPr>
    <w:rPr>
      <w:rFonts w:ascii="宋体" w:eastAsia="仿宋"/>
      <w:sz w:val="24"/>
      <w:szCs w:val="21"/>
    </w:rPr>
  </w:style>
  <w:style w:type="paragraph" w:customStyle="1" w:styleId="14">
    <w:name w:val="样式 标题 3 + (中文) 黑体 小四 非加粗 段前: 7.8 磅 段后: 0 磅 行距: 固定值 20 磅_0"/>
    <w:basedOn w:val="1"/>
    <w:qFormat/>
    <w:uiPriority w:val="0"/>
    <w:pPr>
      <w:keepNext/>
      <w:keepLines/>
      <w:spacing w:line="400" w:lineRule="exact"/>
      <w:outlineLvl w:val="2"/>
    </w:pPr>
    <w:rPr>
      <w:rFonts w:eastAsia="黑体" w:cs="宋体"/>
      <w:szCs w:val="21"/>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0"/>
    <w:rPr>
      <w:rFonts w:ascii="Tahoma" w:hAnsi="Tahoma" w:eastAsia="宋体"/>
      <w:b/>
      <w:bCs/>
      <w:spacing w:val="10"/>
      <w:sz w:val="24"/>
      <w:lang w:val="en-US" w:eastAsia="zh-CN" w:bidi="ar-SA"/>
    </w:rPr>
  </w:style>
  <w:style w:type="paragraph" w:customStyle="1" w:styleId="19">
    <w:name w:val="普通(网站)11"/>
    <w:basedOn w:val="1"/>
    <w:qFormat/>
    <w:uiPriority w:val="99"/>
    <w:pPr>
      <w:spacing w:beforeAutospacing="1" w:afterAutospacing="1"/>
      <w:jc w:val="left"/>
    </w:pPr>
    <w:rPr>
      <w:rFonts w:cs="Times New Roman"/>
      <w:sz w:val="24"/>
    </w:rPr>
  </w:style>
  <w:style w:type="paragraph" w:customStyle="1" w:styleId="20">
    <w:name w:val="正文空2格  1."/>
    <w:basedOn w:val="1"/>
    <w:qFormat/>
    <w:uiPriority w:val="99"/>
    <w:pPr>
      <w:adjustRightInd w:val="0"/>
      <w:spacing w:line="360" w:lineRule="auto"/>
      <w:ind w:firstLine="200" w:firstLineChars="200"/>
      <w:textAlignment w:val="baseline"/>
    </w:pPr>
    <w:rPr>
      <w:rFonts w:ascii="宋体" w:hAnsi="宋体" w:eastAsia="仿宋" w:cs="宋体"/>
      <w:kern w:val="0"/>
      <w:sz w:val="28"/>
      <w:szCs w:val="20"/>
    </w:rPr>
  </w:style>
  <w:style w:type="paragraph" w:customStyle="1" w:styleId="21">
    <w:name w:val="正文 1.1.1"/>
    <w:basedOn w:val="1"/>
    <w:next w:val="1"/>
    <w:qFormat/>
    <w:uiPriority w:val="99"/>
    <w:pPr>
      <w:adjustRightInd w:val="0"/>
      <w:spacing w:line="360" w:lineRule="auto"/>
      <w:textAlignment w:val="baseline"/>
      <w:outlineLvl w:val="2"/>
    </w:pPr>
    <w:rPr>
      <w:rFonts w:ascii="宋体" w:hAnsi="宋体" w:eastAsia="仿宋"/>
      <w:kern w:val="0"/>
      <w:sz w:val="28"/>
      <w:szCs w:val="21"/>
    </w:rPr>
  </w:style>
  <w:style w:type="paragraph" w:customStyle="1" w:styleId="22">
    <w:name w:val="Table Paragraph"/>
    <w:basedOn w:val="1"/>
    <w:qFormat/>
    <w:uiPriority w:val="1"/>
    <w:rPr>
      <w:rFonts w:ascii="宋体" w:hAnsi="宋体" w:eastAsia="宋体" w:cs="宋体"/>
      <w:lang w:val="zh-CN" w:eastAsia="zh-CN" w:bidi="zh-CN"/>
    </w:rPr>
  </w:style>
  <w:style w:type="paragraph" w:customStyle="1" w:styleId="23">
    <w:name w:val="正文首行缩进11"/>
    <w:basedOn w:val="1"/>
    <w:next w:val="1"/>
    <w:unhideWhenUsed/>
    <w:qFormat/>
    <w:uiPriority w:val="99"/>
    <w:pPr>
      <w:ind w:firstLine="420"/>
    </w:pPr>
    <w:rPr>
      <w:rFonts w:ascii="Times New Roman" w:hAnsi="Times New Roman"/>
    </w:rPr>
  </w:style>
  <w:style w:type="paragraph" w:customStyle="1" w:styleId="24">
    <w:name w:val="普通(网站)12"/>
    <w:basedOn w:val="1"/>
    <w:qFormat/>
    <w:uiPriority w:val="0"/>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1376</Words>
  <Characters>1402</Characters>
  <Lines>0</Lines>
  <Paragraphs>0</Paragraphs>
  <TotalTime>5</TotalTime>
  <ScaleCrop>false</ScaleCrop>
  <LinksUpToDate>false</LinksUpToDate>
  <CharactersWithSpaces>1410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2025-09-18T09:27:00Z</dcterms:created>
  <dc:creator>王寒冰</dc:creator>
  <cp:lastModifiedBy>王寒冰</cp:lastModifiedBy>
  <cp:lastPrinted>2025-12-17T06:54:00Z</cp:lastPrinted>
  <dcterms:modified xsi:type="dcterms:W3CDTF">2025-12-18T03:02:57Z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8EBE41B454424E42919C77063EB011C1_11</vt:lpwstr>
  </property>
  <property fmtid="{D5CDD505-2E9C-101B-9397-08002B2CF9AE}" pid="4" name="KSOTemplateDocerSaveRecord">
    <vt:lpwstr>eyJoZGlkIjoiNzNmZjU1YTc0YjdiOTljOGE2M2FlMDEzOGI1NDFkNjYiLCJ1c2VySWQiOiIzMjQyMDI1MjcifQ==</vt:lpwstr>
  </property>
</Properties>
</file>