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4391E">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 xml:space="preserve"> 招标公告</w:t>
      </w:r>
    </w:p>
    <w:p w14:paraId="1CF991A5">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val="en-US" w:eastAsia="zh-CN"/>
        </w:rPr>
        <w:t>驾培公司车辆定点维修单位</w:t>
      </w:r>
      <w:r>
        <w:rPr>
          <w:rFonts w:hint="eastAsia" w:ascii="仿宋_GB2312" w:hAnsi="仿宋_GB2312" w:eastAsia="仿宋_GB2312" w:cs="仿宋_GB2312"/>
          <w:sz w:val="28"/>
          <w:szCs w:val="28"/>
          <w:u w:val="none"/>
          <w:lang w:val="en-US"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5E34366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6CD53950">
      <w:pPr>
        <w:spacing w:line="570" w:lineRule="exact"/>
        <w:ind w:firstLine="562" w:firstLineChars="200"/>
        <w:rPr>
          <w:rFonts w:hint="eastAsia" w:eastAsia="方正仿宋_GBK"/>
          <w:sz w:val="32"/>
          <w:szCs w:val="32"/>
        </w:rPr>
      </w:pPr>
      <w:r>
        <w:rPr>
          <w:rFonts w:hint="eastAsia" w:ascii="仿宋_GB2312" w:hAnsi="仿宋_GB2312" w:eastAsia="仿宋_GB2312" w:cs="仿宋_GB2312"/>
          <w:b/>
          <w:bCs/>
          <w:kern w:val="2"/>
          <w:sz w:val="28"/>
          <w:szCs w:val="28"/>
          <w:lang w:val="en-US" w:eastAsia="zh-CN" w:bidi="ar-SA"/>
        </w:rPr>
        <w:t>项目概况：</w:t>
      </w:r>
      <w:r>
        <w:rPr>
          <w:rFonts w:hint="eastAsia" w:ascii="仿宋_GB2312" w:hAnsi="仿宋_GB2312" w:eastAsia="仿宋_GB2312" w:cs="仿宋_GB2312"/>
          <w:kern w:val="2"/>
          <w:sz w:val="28"/>
          <w:szCs w:val="28"/>
          <w:lang w:val="en-US" w:eastAsia="zh-CN" w:bidi="ar-SA"/>
        </w:rPr>
        <w:t>盐城交院驾驶培训有限公司隶属于江苏省盐城技师学院，座落在盐南高新区海洋路29号,通过公开招标形式确定一个车辆定点维修单位，合作期限</w:t>
      </w:r>
      <w:r>
        <w:rPr>
          <w:rFonts w:hint="eastAsia" w:ascii="仿宋_GB2312" w:hAnsi="仿宋_GB2312" w:eastAsia="仿宋_GB2312" w:cs="仿宋_GB2312"/>
          <w:b/>
          <w:bCs/>
          <w:kern w:val="2"/>
          <w:sz w:val="28"/>
          <w:szCs w:val="28"/>
          <w:lang w:val="en-US" w:eastAsia="zh-CN" w:bidi="ar-SA"/>
        </w:rPr>
        <w:t>为3年</w:t>
      </w:r>
      <w:r>
        <w:rPr>
          <w:rFonts w:hint="eastAsia" w:ascii="仿宋_GB2312" w:hAnsi="仿宋_GB2312" w:eastAsia="仿宋_GB2312" w:cs="仿宋_GB2312"/>
          <w:kern w:val="2"/>
          <w:sz w:val="28"/>
          <w:szCs w:val="28"/>
          <w:lang w:val="en-US" w:eastAsia="zh-CN" w:bidi="ar-SA"/>
        </w:rPr>
        <w:t>，中标单位按中标报价（维修工时单价、工时定额、材料配件价格和质量服务承诺等），向盐城交院驾驶培训有限公司驻场提供汽车维修服务。</w:t>
      </w:r>
    </w:p>
    <w:p w14:paraId="2203F4D8">
      <w:pPr>
        <w:pStyle w:val="2"/>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车辆品牌数量如下：</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5"/>
        <w:gridCol w:w="3155"/>
        <w:gridCol w:w="2131"/>
        <w:gridCol w:w="2131"/>
      </w:tblGrid>
      <w:tr w14:paraId="50E2B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7E3559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序号</w:t>
            </w:r>
          </w:p>
        </w:tc>
        <w:tc>
          <w:tcPr>
            <w:tcW w:w="3155" w:type="dxa"/>
          </w:tcPr>
          <w:p w14:paraId="42220E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车型</w:t>
            </w:r>
          </w:p>
        </w:tc>
        <w:tc>
          <w:tcPr>
            <w:tcW w:w="2131" w:type="dxa"/>
          </w:tcPr>
          <w:p w14:paraId="7100F5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数量</w:t>
            </w:r>
          </w:p>
        </w:tc>
        <w:tc>
          <w:tcPr>
            <w:tcW w:w="2131" w:type="dxa"/>
          </w:tcPr>
          <w:p w14:paraId="080A28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备注</w:t>
            </w:r>
          </w:p>
        </w:tc>
      </w:tr>
      <w:tr w14:paraId="4EB05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tcPr>
          <w:p w14:paraId="4D454A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1</w:t>
            </w:r>
          </w:p>
        </w:tc>
        <w:tc>
          <w:tcPr>
            <w:tcW w:w="3155" w:type="dxa"/>
          </w:tcPr>
          <w:p w14:paraId="4E24A3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kern w:val="2"/>
                <w:sz w:val="28"/>
                <w:szCs w:val="28"/>
                <w:lang w:val="en-US" w:eastAsia="zh-CN" w:bidi="ar-SA"/>
              </w:rPr>
              <w:t>起亚赛拉图</w:t>
            </w:r>
          </w:p>
        </w:tc>
        <w:tc>
          <w:tcPr>
            <w:tcW w:w="2131" w:type="dxa"/>
          </w:tcPr>
          <w:p w14:paraId="747D96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kern w:val="2"/>
                <w:sz w:val="28"/>
                <w:szCs w:val="28"/>
                <w:lang w:val="en-US" w:eastAsia="zh-CN" w:bidi="ar-SA"/>
              </w:rPr>
              <w:t>10台</w:t>
            </w:r>
          </w:p>
        </w:tc>
        <w:tc>
          <w:tcPr>
            <w:tcW w:w="2131" w:type="dxa"/>
          </w:tcPr>
          <w:p w14:paraId="3F2385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16672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shd w:val="clear" w:color="auto" w:fill="auto"/>
            <w:vAlign w:val="top"/>
          </w:tcPr>
          <w:p w14:paraId="2925FC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2</w:t>
            </w:r>
          </w:p>
        </w:tc>
        <w:tc>
          <w:tcPr>
            <w:tcW w:w="3155" w:type="dxa"/>
          </w:tcPr>
          <w:p w14:paraId="693B24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福瑞迪</w:t>
            </w:r>
          </w:p>
        </w:tc>
        <w:tc>
          <w:tcPr>
            <w:tcW w:w="2131" w:type="dxa"/>
          </w:tcPr>
          <w:p w14:paraId="7FDF67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42台</w:t>
            </w:r>
          </w:p>
        </w:tc>
        <w:tc>
          <w:tcPr>
            <w:tcW w:w="2131" w:type="dxa"/>
          </w:tcPr>
          <w:p w14:paraId="7DD2E2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04202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shd w:val="clear" w:color="auto" w:fill="auto"/>
            <w:vAlign w:val="top"/>
          </w:tcPr>
          <w:p w14:paraId="05D5C2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3</w:t>
            </w:r>
          </w:p>
        </w:tc>
        <w:tc>
          <w:tcPr>
            <w:tcW w:w="3155" w:type="dxa"/>
          </w:tcPr>
          <w:p w14:paraId="1CC2764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kern w:val="2"/>
                <w:sz w:val="28"/>
                <w:szCs w:val="28"/>
                <w:lang w:val="en-US" w:eastAsia="zh-CN" w:bidi="ar-SA"/>
              </w:rPr>
              <w:t>东风大型货车</w:t>
            </w:r>
          </w:p>
        </w:tc>
        <w:tc>
          <w:tcPr>
            <w:tcW w:w="2131" w:type="dxa"/>
          </w:tcPr>
          <w:p w14:paraId="7695BD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kern w:val="2"/>
                <w:sz w:val="28"/>
                <w:szCs w:val="28"/>
                <w:lang w:val="en-US" w:eastAsia="zh-CN" w:bidi="ar-SA"/>
              </w:rPr>
              <w:t>8台</w:t>
            </w:r>
          </w:p>
        </w:tc>
        <w:tc>
          <w:tcPr>
            <w:tcW w:w="2131" w:type="dxa"/>
          </w:tcPr>
          <w:p w14:paraId="249ADC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00DEE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shd w:val="clear" w:color="auto" w:fill="auto"/>
            <w:vAlign w:val="top"/>
          </w:tcPr>
          <w:p w14:paraId="0BC428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4</w:t>
            </w:r>
          </w:p>
        </w:tc>
        <w:tc>
          <w:tcPr>
            <w:tcW w:w="3155" w:type="dxa"/>
            <w:shd w:val="clear" w:color="auto" w:fill="auto"/>
            <w:vAlign w:val="top"/>
          </w:tcPr>
          <w:p w14:paraId="52B71C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悦达起亚K5</w:t>
            </w:r>
          </w:p>
        </w:tc>
        <w:tc>
          <w:tcPr>
            <w:tcW w:w="2131" w:type="dxa"/>
            <w:shd w:val="clear" w:color="auto" w:fill="auto"/>
            <w:vAlign w:val="top"/>
          </w:tcPr>
          <w:p w14:paraId="2A2353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2台</w:t>
            </w:r>
          </w:p>
        </w:tc>
        <w:tc>
          <w:tcPr>
            <w:tcW w:w="2131" w:type="dxa"/>
          </w:tcPr>
          <w:p w14:paraId="402124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r w14:paraId="049BA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shd w:val="clear" w:color="auto" w:fill="auto"/>
            <w:vAlign w:val="top"/>
          </w:tcPr>
          <w:p w14:paraId="387AC0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kern w:val="2"/>
                <w:sz w:val="28"/>
                <w:szCs w:val="28"/>
                <w:vertAlign w:val="baseline"/>
                <w:lang w:val="en-US" w:eastAsia="zh-CN" w:bidi="ar-SA"/>
              </w:rPr>
              <w:t>5</w:t>
            </w:r>
          </w:p>
        </w:tc>
        <w:tc>
          <w:tcPr>
            <w:tcW w:w="3155" w:type="dxa"/>
          </w:tcPr>
          <w:p w14:paraId="5ED9FA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p>
        </w:tc>
        <w:tc>
          <w:tcPr>
            <w:tcW w:w="2131" w:type="dxa"/>
          </w:tcPr>
          <w:p w14:paraId="42B337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2"/>
                <w:sz w:val="28"/>
                <w:szCs w:val="28"/>
                <w:lang w:val="en-US" w:eastAsia="zh-CN" w:bidi="ar-SA"/>
              </w:rPr>
            </w:pPr>
          </w:p>
        </w:tc>
        <w:tc>
          <w:tcPr>
            <w:tcW w:w="2131" w:type="dxa"/>
          </w:tcPr>
          <w:p w14:paraId="0B819D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2"/>
                <w:sz w:val="28"/>
                <w:szCs w:val="28"/>
                <w:vertAlign w:val="baseline"/>
                <w:lang w:val="en-US" w:eastAsia="zh-CN" w:bidi="ar-SA"/>
              </w:rPr>
            </w:pPr>
          </w:p>
        </w:tc>
      </w:tr>
    </w:tbl>
    <w:p w14:paraId="0EC41D59">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备注：中标人需驻场服务，场地由采购人提供（位于盐南高新区海洋路29号江苏省盐城技师学院海洋路校区内），维修的设备设施以及辅助工具由中标人提供，投标人可自行踏勘场地，联系人：吴老师，13851056339。</w:t>
      </w:r>
    </w:p>
    <w:p w14:paraId="465B2862">
      <w:pPr>
        <w:keepNext w:val="0"/>
        <w:keepLines w:val="0"/>
        <w:pageBreakBefore w:val="0"/>
        <w:widowControl w:val="0"/>
        <w:kinsoku/>
        <w:wordWrap/>
        <w:overflowPunct/>
        <w:topLinePunct w:val="0"/>
        <w:autoSpaceDE/>
        <w:autoSpaceDN/>
        <w:bidi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23649910">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038DD9F5">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hint="eastAsia" w:ascii="仿宋_GB2312" w:eastAsia="仿宋_GB2312" w:cs="仿宋_GB2312"/>
          <w:b/>
          <w:bCs/>
          <w:color w:val="000000"/>
          <w:sz w:val="28"/>
          <w:szCs w:val="28"/>
          <w:lang w:eastAsia="zh-CN"/>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，具备</w:t>
      </w:r>
      <w:r>
        <w:rPr>
          <w:rFonts w:hint="eastAsia" w:ascii="仿宋_GB2312" w:eastAsia="仿宋_GB2312" w:cs="仿宋_GB2312"/>
          <w:color w:val="000000"/>
          <w:sz w:val="28"/>
          <w:szCs w:val="28"/>
        </w:rPr>
        <w:t>道路运输管理机构许可或备案</w:t>
      </w:r>
      <w:r>
        <w:rPr>
          <w:rFonts w:hint="eastAsia" w:ascii="仿宋_GB2312" w:eastAsia="仿宋_GB2312" w:cs="仿宋_GB2312"/>
          <w:color w:val="000000"/>
          <w:sz w:val="28"/>
          <w:szCs w:val="28"/>
          <w:lang w:eastAsia="zh-CN"/>
        </w:rPr>
        <w:t>的汽车维修二类及以上资质，</w:t>
      </w:r>
      <w:r>
        <w:rPr>
          <w:rFonts w:hint="eastAsia" w:ascii="仿宋_GB2312" w:eastAsia="仿宋_GB2312" w:cs="仿宋_GB2312"/>
          <w:color w:val="000000"/>
          <w:sz w:val="28"/>
          <w:szCs w:val="28"/>
          <w:lang w:val="en-US" w:eastAsia="zh-CN"/>
        </w:rPr>
        <w:t>企业必须为</w:t>
      </w:r>
      <w:r>
        <w:rPr>
          <w:rFonts w:hint="eastAsia" w:ascii="仿宋_GB2312" w:eastAsia="仿宋_GB2312" w:cs="仿宋_GB2312"/>
          <w:b/>
          <w:bCs/>
          <w:color w:val="000000"/>
          <w:sz w:val="28"/>
          <w:szCs w:val="28"/>
          <w:lang w:eastAsia="zh-CN"/>
        </w:rPr>
        <w:t>为2024-2025年度盐城市本级党政机关、事业单位及团体组织公务用车维修保养服务</w:t>
      </w:r>
      <w:r>
        <w:rPr>
          <w:rFonts w:hint="eastAsia" w:ascii="仿宋_GB2312" w:eastAsia="仿宋_GB2312" w:cs="仿宋_GB2312"/>
          <w:b/>
          <w:bCs/>
          <w:color w:val="000000"/>
          <w:sz w:val="28"/>
          <w:szCs w:val="28"/>
          <w:lang w:val="en-US" w:eastAsia="zh-CN"/>
        </w:rPr>
        <w:t>定点单位</w:t>
      </w:r>
      <w:r>
        <w:rPr>
          <w:rFonts w:hint="eastAsia" w:ascii="仿宋_GB2312" w:eastAsia="仿宋_GB2312" w:cs="仿宋_GB2312"/>
          <w:b/>
          <w:bCs/>
          <w:color w:val="000000"/>
          <w:sz w:val="28"/>
          <w:szCs w:val="28"/>
          <w:lang w:eastAsia="zh-CN"/>
        </w:rPr>
        <w:t>；</w:t>
      </w:r>
    </w:p>
    <w:p w14:paraId="096A0EEB">
      <w:pPr>
        <w:keepNext w:val="0"/>
        <w:keepLines w:val="0"/>
        <w:pageBreakBefore w:val="0"/>
        <w:widowControl w:val="0"/>
        <w:kinsoku/>
        <w:wordWrap/>
        <w:overflowPunct/>
        <w:topLinePunct w:val="0"/>
        <w:autoSpaceDE/>
        <w:autoSpaceDN/>
        <w:bidi w:val="0"/>
        <w:snapToGrid w:val="0"/>
        <w:spacing w:line="50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汽车维修资质证书（</w:t>
      </w:r>
      <w:r>
        <w:rPr>
          <w:rFonts w:hint="eastAsia" w:ascii="仿宋_GB2312" w:eastAsia="仿宋_GB2312" w:cs="仿宋_GB2312"/>
          <w:b/>
          <w:bCs/>
          <w:color w:val="000000"/>
          <w:sz w:val="28"/>
          <w:szCs w:val="28"/>
          <w:u w:val="single"/>
        </w:rPr>
        <w:t>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3346798B">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2D64922F">
      <w:pPr>
        <w:snapToGrid w:val="0"/>
        <w:spacing w:line="460" w:lineRule="exact"/>
        <w:ind w:firstLine="560" w:firstLineChars="200"/>
        <w:rPr>
          <w:rFonts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5</w:t>
      </w:r>
      <w:r>
        <w:rPr>
          <w:rFonts w:ascii="仿宋_GB2312" w:eastAsia="仿宋_GB2312" w:cs="仿宋_GB2312"/>
          <w:color w:val="000000"/>
          <w:sz w:val="28"/>
          <w:szCs w:val="28"/>
        </w:rPr>
        <w:t>.</w:t>
      </w:r>
      <w:r>
        <w:rPr>
          <w:rFonts w:hint="eastAsia" w:ascii="仿宋_GB2312" w:eastAsia="仿宋_GB2312" w:cs="仿宋_GB2312"/>
          <w:color w:val="000000"/>
          <w:sz w:val="28"/>
          <w:szCs w:val="28"/>
        </w:rPr>
        <w:t>未被“信用中国”网站（www.creditchina.gov.cn）列入失信被执行人、重大税收违法案件当事人名单、政府采购严重失信行为记录名单。</w:t>
      </w:r>
    </w:p>
    <w:p w14:paraId="32605FFD">
      <w:pPr>
        <w:snapToGrid w:val="0"/>
        <w:spacing w:line="460" w:lineRule="exact"/>
        <w:ind w:firstLine="560" w:firstLineChars="200"/>
        <w:rPr>
          <w:rFonts w:hint="eastAsia" w:eastAsia="仿宋_GB2312"/>
          <w:color w:val="000000"/>
          <w:sz w:val="24"/>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rPr>
        <w:t>本项目不接受联合体投标。</w:t>
      </w:r>
    </w:p>
    <w:p w14:paraId="073931E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41B78D5C">
      <w:pPr>
        <w:spacing w:line="560" w:lineRule="exact"/>
        <w:ind w:firstLine="560" w:firstLineChars="200"/>
        <w:rPr>
          <w:rFonts w:hint="eastAsia" w:ascii="仿宋_GB2312" w:hAnsi="仿宋_GB2312" w:eastAsia="仿宋_GB2312" w:cs="仿宋_GB2312"/>
          <w:kern w:val="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驾培公司车辆定点维修单位项目。</w:t>
      </w:r>
    </w:p>
    <w:p w14:paraId="1BCCB23B">
      <w:pPr>
        <w:spacing w:line="560" w:lineRule="exact"/>
        <w:ind w:firstLine="560" w:firstLineChars="200"/>
        <w:rPr>
          <w:rFonts w:hint="default" w:ascii="仿宋_GB2312" w:hAnsi="仿宋_GB2312" w:eastAsia="仿宋_GB2312" w:cs="仿宋_GB2312"/>
          <w:kern w:val="2"/>
          <w:sz w:val="28"/>
          <w:szCs w:val="28"/>
          <w:lang w:val="en-US" w:eastAsia="zh-CN" w:bidi="ar-SA"/>
        </w:rPr>
      </w:pPr>
      <w:bookmarkStart w:id="0" w:name="_GoBack"/>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 w:hAnsi="仿宋" w:eastAsia="仿宋" w:cs="仿宋"/>
          <w:color w:val="000000"/>
          <w:spacing w:val="-6"/>
          <w:kern w:val="2"/>
          <w:sz w:val="28"/>
          <w:szCs w:val="28"/>
          <w:lang w:val="en-US" w:eastAsia="zh-CN" w:bidi="ar-SA"/>
        </w:rPr>
        <w:t>3年，合同一年一签，每年考核，考核合格续签下年合同。</w:t>
      </w:r>
      <w:bookmarkEnd w:id="0"/>
    </w:p>
    <w:p w14:paraId="02B60ED6">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AEBAAEF">
      <w:pPr>
        <w:spacing w:line="560" w:lineRule="exact"/>
        <w:ind w:firstLine="562" w:firstLineChars="200"/>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四、履约保证金</w:t>
      </w:r>
    </w:p>
    <w:p w14:paraId="616D1652">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1.中标人于签订合同前向招标人指定账号缴纳履约保证金5000元。</w:t>
      </w:r>
    </w:p>
    <w:p w14:paraId="6AF62CCC">
      <w:pPr>
        <w:keepNext w:val="0"/>
        <w:keepLines w:val="0"/>
        <w:pageBreakBefore w:val="0"/>
        <w:kinsoku/>
        <w:wordWrap/>
        <w:overflowPunct/>
        <w:topLinePunct w:val="0"/>
        <w:autoSpaceDE/>
        <w:autoSpaceDN/>
        <w:bidi w:val="0"/>
        <w:adjustRightInd/>
        <w:snapToGrid/>
        <w:spacing w:beforeAutospacing="0" w:afterAutospacing="0" w:line="520" w:lineRule="exact"/>
        <w:ind w:firstLine="536" w:firstLineChars="200"/>
        <w:textAlignment w:val="auto"/>
        <w:rPr>
          <w:rFonts w:hint="eastAsia" w:ascii="仿宋" w:hAnsi="仿宋" w:eastAsia="仿宋" w:cs="仿宋"/>
          <w:color w:val="000000"/>
          <w:spacing w:val="-6"/>
          <w:kern w:val="2"/>
          <w:sz w:val="28"/>
          <w:szCs w:val="28"/>
          <w:lang w:val="en-US" w:eastAsia="zh-CN" w:bidi="ar-SA"/>
        </w:rPr>
      </w:pPr>
      <w:r>
        <w:rPr>
          <w:rFonts w:hint="eastAsia" w:ascii="仿宋" w:hAnsi="仿宋" w:eastAsia="仿宋" w:cs="仿宋"/>
          <w:color w:val="000000"/>
          <w:spacing w:val="-6"/>
          <w:kern w:val="2"/>
          <w:sz w:val="28"/>
          <w:szCs w:val="28"/>
          <w:lang w:val="en-US" w:eastAsia="zh-CN" w:bidi="ar-SA"/>
        </w:rPr>
        <w:t>2.履约保证金的退还：项目完成后全额退还（无息）。</w:t>
      </w:r>
    </w:p>
    <w:p w14:paraId="4EFAB3E8">
      <w:pPr>
        <w:spacing w:line="560" w:lineRule="exact"/>
        <w:ind w:firstLine="562" w:firstLineChars="200"/>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 xml:space="preserve">五、招标文件获取、投标文件递交截止时间、开标时间及地点 </w:t>
      </w:r>
    </w:p>
    <w:p w14:paraId="4B90FF3B">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1、招标文件获取时间：2025年11月19日—11月25日（8:00——17:30）； </w:t>
      </w:r>
    </w:p>
    <w:p w14:paraId="43E58991">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地点：江苏省盐城技师学院海洋路校区内（盐城市盐都区海洋路29号匠心楼14楼1411办公室）。 </w:t>
      </w:r>
    </w:p>
    <w:p w14:paraId="5AC8F6C5">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联系人：邵老师0515-68661002/13905109103</w:t>
      </w:r>
    </w:p>
    <w:p w14:paraId="131F9608">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2.投标文件递交截止时间：2025年11月28日9时00分00秒； </w:t>
      </w:r>
    </w:p>
    <w:p w14:paraId="39BEB367">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3.开标时间：2025年11月28日9时00分00秒； </w:t>
      </w:r>
    </w:p>
    <w:p w14:paraId="57C724C5">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4.投标文件递交及开标地点：江苏省盐城技师学院海洋路校区内（盐城市盐都区海洋路29号匠心楼14楼1414会议室）。 </w:t>
      </w:r>
    </w:p>
    <w:p w14:paraId="1ED84EA2">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5.招标人可以按照规定，通过修改招标文件有权酌情延长投标截止日期，在此情况下，投标人的所有权利和义务以及投标人受制的截止日期均应以延长后新的截止日期为准； </w:t>
      </w:r>
    </w:p>
    <w:p w14:paraId="1CB49F42">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6.招标（采购）资料费200 元，投标人交纳的招标（采购）资料费，售后不退。 </w:t>
      </w:r>
    </w:p>
    <w:p w14:paraId="5E4D7102">
      <w:pPr>
        <w:spacing w:line="560" w:lineRule="exact"/>
        <w:ind w:firstLine="562" w:firstLineChars="200"/>
        <w:rPr>
          <w:rFonts w:hint="eastAsia" w:ascii="仿宋" w:hAnsi="仿宋" w:eastAsia="仿宋" w:cs="仿宋"/>
          <w:b/>
          <w:bCs/>
          <w:color w:val="000000"/>
          <w:spacing w:val="-6"/>
          <w:kern w:val="2"/>
          <w:sz w:val="28"/>
          <w:szCs w:val="28"/>
          <w:lang w:val="en-US" w:eastAsia="zh-CN" w:bidi="ar-SA"/>
        </w:rPr>
      </w:pPr>
      <w:r>
        <w:rPr>
          <w:rFonts w:hint="eastAsia" w:ascii="黑体" w:hAnsi="黑体" w:eastAsia="黑体" w:cs="黑体"/>
          <w:b/>
          <w:bCs/>
          <w:sz w:val="28"/>
          <w:szCs w:val="28"/>
          <w:lang w:val="en-US" w:eastAsia="zh-CN"/>
        </w:rPr>
        <w:t>六、期望得到的协助与配合</w:t>
      </w:r>
      <w:r>
        <w:rPr>
          <w:rFonts w:hint="eastAsia" w:ascii="仿宋" w:hAnsi="仿宋" w:eastAsia="仿宋" w:cs="仿宋"/>
          <w:b/>
          <w:bCs/>
          <w:color w:val="000000"/>
          <w:spacing w:val="-6"/>
          <w:kern w:val="2"/>
          <w:sz w:val="28"/>
          <w:szCs w:val="28"/>
          <w:lang w:val="en-US" w:eastAsia="zh-CN" w:bidi="ar-SA"/>
        </w:rPr>
        <w:t xml:space="preserve"> </w:t>
      </w:r>
    </w:p>
    <w:p w14:paraId="3303766F">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了提高招标采购效率，节约社会交易成本及时间，希望报名并购买了招标文件，而又决定不参加本次招标的投标人，请在投标截止时间前2天书面或电话告知我们（联系人：邵老师，办公电话：0515—68661002），对于无故临时放弃投标的投标人，我校将根据情况将投标单位纳入招投标黑名单。对您的支持与配合，谨此致谢。 </w:t>
      </w:r>
    </w:p>
    <w:p w14:paraId="45B44F95">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特别提醒： </w:t>
      </w:r>
    </w:p>
    <w:p w14:paraId="3F52D7E0">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2"/>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招标人会根据招标需要，可能会不定期在“江苏省盐城技师学院官网”发布该项目补充答疑等澄清修改文件，请各投标人自行网上查寻，未能及时查阅响应而影响投标的，结果由投标人负责。 </w:t>
      </w:r>
    </w:p>
    <w:p w14:paraId="2AC676C7">
      <w:pPr>
        <w:spacing w:line="560" w:lineRule="exact"/>
        <w:ind w:firstLine="562" w:firstLineChars="200"/>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 xml:space="preserve">七、其他 </w:t>
      </w:r>
    </w:p>
    <w:p w14:paraId="4E5129BD">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为确保校园安全，投标人进入江苏省盐城技师学院海洋路校区时应服从下列规定： </w:t>
      </w:r>
    </w:p>
    <w:p w14:paraId="2EB73B93">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（1）投标人从学校东大门进出；投标人车辆一律不得进入校园。 </w:t>
      </w:r>
    </w:p>
    <w:p w14:paraId="1906865D">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（2）授权代表限1人进入校园，进入校园前须在东大门外相关工作人员处进行信息实名登记。请投标人注意投标截止时间。 </w:t>
      </w:r>
    </w:p>
    <w:p w14:paraId="309675BE">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56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（3）投标人进入校园后应在指定地点参与投标活动，不到非相关场所活动；投标工作结束后应立即离开校园，不逗留。 </w:t>
      </w:r>
    </w:p>
    <w:p w14:paraId="7F72FB26">
      <w:pPr>
        <w:spacing w:line="560" w:lineRule="exact"/>
        <w:ind w:firstLine="562" w:firstLineChars="200"/>
        <w:rPr>
          <w:rFonts w:hint="eastAsia" w:ascii="仿宋" w:hAnsi="仿宋" w:eastAsia="仿宋" w:cs="仿宋"/>
          <w:b/>
          <w:sz w:val="30"/>
          <w:szCs w:val="30"/>
          <w:lang w:val="en-US" w:eastAsia="zh-CN"/>
        </w:rPr>
      </w:pPr>
      <w:r>
        <w:rPr>
          <w:rFonts w:hint="eastAsia" w:ascii="黑体" w:hAnsi="黑体" w:eastAsia="黑体" w:cs="黑体"/>
          <w:b/>
          <w:bCs/>
          <w:sz w:val="28"/>
          <w:szCs w:val="28"/>
          <w:lang w:val="en-US" w:eastAsia="zh-CN"/>
        </w:rPr>
        <w:t xml:space="preserve">八、招标人联系方式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9"/>
        <w:gridCol w:w="7073"/>
      </w:tblGrid>
      <w:tr w14:paraId="5622F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1E13AAD">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联系人</w:t>
            </w:r>
          </w:p>
        </w:tc>
        <w:tc>
          <w:tcPr>
            <w:tcW w:w="7073" w:type="dxa"/>
          </w:tcPr>
          <w:p w14:paraId="0B108153">
            <w:pPr>
              <w:spacing w:line="480" w:lineRule="exact"/>
              <w:jc w:val="center"/>
              <w:rPr>
                <w:rFonts w:hint="eastAsia" w:ascii="楷体" w:hAnsi="楷体" w:eastAsia="楷体" w:cs="仿宋_GB2312"/>
                <w:b/>
                <w:sz w:val="30"/>
                <w:szCs w:val="30"/>
                <w:vertAlign w:val="baseline"/>
                <w:lang w:val="en-US" w:eastAsia="zh-CN"/>
              </w:rPr>
            </w:pPr>
            <w:r>
              <w:rPr>
                <w:rFonts w:hint="eastAsia" w:ascii="仿宋_GB2312" w:eastAsia="仿宋_GB2312" w:cs="仿宋_GB2312" w:hAnsiTheme="minorHAnsi"/>
                <w:kern w:val="2"/>
                <w:sz w:val="28"/>
                <w:szCs w:val="28"/>
                <w:lang w:val="en-US" w:eastAsia="zh-CN" w:bidi="ar-SA"/>
              </w:rPr>
              <w:t>邵老师</w:t>
            </w:r>
          </w:p>
        </w:tc>
      </w:tr>
      <w:tr w14:paraId="47CE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49" w:type="dxa"/>
            <w:vAlign w:val="center"/>
          </w:tcPr>
          <w:p w14:paraId="5E880FFB">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电话</w:t>
            </w:r>
          </w:p>
        </w:tc>
        <w:tc>
          <w:tcPr>
            <w:tcW w:w="7073" w:type="dxa"/>
          </w:tcPr>
          <w:p w14:paraId="64C649B7">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0515-68661002</w:t>
            </w:r>
            <w:r>
              <w:rPr>
                <w:rFonts w:hint="eastAsia" w:ascii="仿宋_GB2312" w:eastAsia="仿宋_GB2312" w:cs="仿宋_GB2312"/>
                <w:kern w:val="2"/>
                <w:sz w:val="28"/>
                <w:szCs w:val="28"/>
                <w:lang w:val="en-US" w:eastAsia="zh-CN" w:bidi="ar-SA"/>
              </w:rPr>
              <w:t xml:space="preserve"> </w:t>
            </w:r>
            <w:r>
              <w:rPr>
                <w:rFonts w:hint="eastAsia" w:ascii="仿宋_GB2312" w:eastAsia="仿宋_GB2312" w:cs="仿宋_GB2312" w:hAnsiTheme="minorHAnsi"/>
                <w:kern w:val="2"/>
                <w:sz w:val="28"/>
                <w:szCs w:val="28"/>
                <w:lang w:val="en-US" w:eastAsia="zh-CN" w:bidi="ar-SA"/>
              </w:rPr>
              <w:t>邵老师13905109103</w:t>
            </w:r>
          </w:p>
        </w:tc>
      </w:tr>
      <w:tr w14:paraId="3D5A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9" w:type="dxa"/>
            <w:vAlign w:val="center"/>
          </w:tcPr>
          <w:p w14:paraId="632D116E">
            <w:pPr>
              <w:spacing w:line="480" w:lineRule="exact"/>
              <w:jc w:val="center"/>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联系地址</w:t>
            </w:r>
          </w:p>
        </w:tc>
        <w:tc>
          <w:tcPr>
            <w:tcW w:w="7073" w:type="dxa"/>
          </w:tcPr>
          <w:p w14:paraId="7A9E569B">
            <w:pPr>
              <w:spacing w:line="480" w:lineRule="exact"/>
              <w:rPr>
                <w:rFonts w:hint="eastAsia" w:ascii="仿宋_GB2312" w:eastAsia="仿宋_GB2312" w:cs="仿宋_GB2312" w:hAnsiTheme="minorHAnsi"/>
                <w:kern w:val="2"/>
                <w:sz w:val="28"/>
                <w:szCs w:val="28"/>
                <w:lang w:val="en-US" w:eastAsia="zh-CN" w:bidi="ar-SA"/>
              </w:rPr>
            </w:pPr>
            <w:r>
              <w:rPr>
                <w:rFonts w:hint="eastAsia" w:ascii="仿宋_GB2312" w:eastAsia="仿宋_GB2312" w:cs="仿宋_GB2312" w:hAnsiTheme="minorHAnsi"/>
                <w:kern w:val="2"/>
                <w:sz w:val="28"/>
                <w:szCs w:val="28"/>
                <w:lang w:val="en-US" w:eastAsia="zh-CN" w:bidi="ar-SA"/>
              </w:rPr>
              <w:t xml:space="preserve">江苏省盐城技师学院海洋路校区内（盐城市盐都区海洋路29号匠心楼14楼1412办公室） </w:t>
            </w:r>
          </w:p>
        </w:tc>
      </w:tr>
    </w:tbl>
    <w:p w14:paraId="71AC346C">
      <w:pPr>
        <w:pStyle w:val="2"/>
        <w:rPr>
          <w:rFonts w:hint="eastAsia" w:eastAsia="黑体" w:cs="黑体"/>
          <w:sz w:val="44"/>
          <w:szCs w:val="44"/>
        </w:rPr>
      </w:pPr>
    </w:p>
    <w:p w14:paraId="0E96B2BD">
      <w:pPr>
        <w:spacing w:before="156" w:beforeLines="50" w:after="156" w:afterLines="50" w:line="480" w:lineRule="exact"/>
        <w:jc w:val="both"/>
        <w:rPr>
          <w:rFonts w:hint="eastAsia" w:eastAsia="黑体" w:cs="黑体"/>
          <w:sz w:val="44"/>
          <w:szCs w:val="44"/>
        </w:rPr>
      </w:pPr>
    </w:p>
    <w:p w14:paraId="4EBE1217">
      <w:pPr>
        <w:pStyle w:val="2"/>
        <w:rPr>
          <w:rFonts w:hint="eastAsia" w:eastAsia="黑体" w:cs="黑体"/>
          <w:sz w:val="44"/>
          <w:szCs w:val="44"/>
        </w:rPr>
      </w:pPr>
    </w:p>
    <w:p w14:paraId="7E1A74F3">
      <w:pPr>
        <w:pStyle w:val="2"/>
        <w:rPr>
          <w:rFonts w:hint="eastAsia" w:eastAsia="黑体" w:cs="黑体"/>
          <w:sz w:val="44"/>
          <w:szCs w:val="44"/>
        </w:rPr>
      </w:pPr>
    </w:p>
    <w:p w14:paraId="7DAB3BF6">
      <w:pPr>
        <w:pStyle w:val="2"/>
        <w:rPr>
          <w:rFonts w:hint="eastAsia" w:eastAsia="黑体" w:cs="黑体"/>
          <w:sz w:val="44"/>
          <w:szCs w:val="44"/>
        </w:rPr>
      </w:pPr>
    </w:p>
    <w:p w14:paraId="4C513097">
      <w:pPr>
        <w:pStyle w:val="2"/>
        <w:ind w:left="0" w:leftChars="0" w:firstLine="0" w:firstLineChars="0"/>
        <w:rPr>
          <w:rFonts w:hint="eastAsia"/>
        </w:rPr>
      </w:pPr>
    </w:p>
    <w:p w14:paraId="6A5BE6CF">
      <w:pPr>
        <w:pStyle w:val="2"/>
        <w:ind w:left="0" w:leftChars="0" w:firstLine="0" w:firstLineChars="0"/>
        <w:rPr>
          <w:rFonts w:hint="eastAsia"/>
        </w:rPr>
      </w:pPr>
    </w:p>
    <w:p w14:paraId="76B168CE">
      <w:pPr>
        <w:rPr>
          <w:rFonts w:hint="eastAsia"/>
        </w:rPr>
      </w:pPr>
    </w:p>
    <w:p w14:paraId="69756309">
      <w:pPr>
        <w:pStyle w:val="2"/>
        <w:rPr>
          <w:rFonts w:hint="eastAsia"/>
        </w:rPr>
      </w:pPr>
    </w:p>
    <w:p w14:paraId="02129379">
      <w:pPr>
        <w:rPr>
          <w:rFonts w:hint="eastAsia"/>
        </w:rPr>
      </w:pPr>
    </w:p>
    <w:p w14:paraId="46B2A6F1">
      <w:pPr>
        <w:pStyle w:val="2"/>
        <w:rPr>
          <w:rFonts w:hint="eastAsia"/>
        </w:rPr>
      </w:pPr>
    </w:p>
    <w:p w14:paraId="06F955F2">
      <w:pPr>
        <w:rPr>
          <w:rFonts w:hint="eastAsia"/>
        </w:rPr>
      </w:pPr>
    </w:p>
    <w:p w14:paraId="788EED61">
      <w:pPr>
        <w:pStyle w:val="2"/>
        <w:rPr>
          <w:rFonts w:hint="eastAsia"/>
        </w:rPr>
      </w:pPr>
    </w:p>
    <w:p w14:paraId="2FBB903F">
      <w:pPr>
        <w:pStyle w:val="2"/>
        <w:ind w:left="0" w:leftChars="0" w:firstLine="0" w:firstLineChars="0"/>
        <w:rPr>
          <w:rFonts w:hint="eastAsia"/>
        </w:rPr>
      </w:pPr>
    </w:p>
    <w:p w14:paraId="4AFE9139">
      <w:pPr>
        <w:pStyle w:val="2"/>
        <w:ind w:left="0" w:leftChars="0" w:firstLine="0" w:firstLineChars="0"/>
        <w:rPr>
          <w:rFonts w:hint="eastAsia"/>
        </w:rPr>
      </w:pPr>
    </w:p>
    <w:p w14:paraId="4D2EB8D1">
      <w:pPr>
        <w:pStyle w:val="2"/>
        <w:ind w:left="0" w:leftChars="0" w:firstLine="0" w:firstLineChars="0"/>
        <w:rPr>
          <w:rFonts w:hint="eastAsia"/>
        </w:rPr>
      </w:pPr>
    </w:p>
    <w:p w14:paraId="34DF1BD8">
      <w:pPr>
        <w:pStyle w:val="2"/>
        <w:ind w:firstLine="320"/>
        <w:rPr>
          <w:rFonts w:ascii="仿宋_GB2312" w:eastAsia="仿宋_GB2312" w:cs="仿宋_GB2312"/>
          <w:sz w:val="32"/>
          <w:szCs w:val="32"/>
        </w:rPr>
      </w:pPr>
    </w:p>
    <w:sectPr>
      <w:footerReference r:id="rId3" w:type="default"/>
      <w:pgSz w:w="11906" w:h="16838"/>
      <w:pgMar w:top="1383" w:right="1689" w:bottom="1383" w:left="1689"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宋体"/>
    <w:panose1 w:val="03000509000000000000"/>
    <w:charset w:val="86"/>
    <w:family w:val="script"/>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F979B">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22C6DA64">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A7546E"/>
    <w:rsid w:val="02430947"/>
    <w:rsid w:val="02BB1952"/>
    <w:rsid w:val="02BB486C"/>
    <w:rsid w:val="02D23B6C"/>
    <w:rsid w:val="03055062"/>
    <w:rsid w:val="035A33CF"/>
    <w:rsid w:val="03784BFE"/>
    <w:rsid w:val="039369CC"/>
    <w:rsid w:val="044A21C6"/>
    <w:rsid w:val="048928DD"/>
    <w:rsid w:val="04C12B4C"/>
    <w:rsid w:val="04CD3D0D"/>
    <w:rsid w:val="04EF3DB4"/>
    <w:rsid w:val="051004D3"/>
    <w:rsid w:val="05272FAA"/>
    <w:rsid w:val="052D0E27"/>
    <w:rsid w:val="055A2B8C"/>
    <w:rsid w:val="05787881"/>
    <w:rsid w:val="05B15802"/>
    <w:rsid w:val="05C0312F"/>
    <w:rsid w:val="05E76332"/>
    <w:rsid w:val="063E3843"/>
    <w:rsid w:val="067009E3"/>
    <w:rsid w:val="06747033"/>
    <w:rsid w:val="0679188B"/>
    <w:rsid w:val="06B24841"/>
    <w:rsid w:val="06BB5646"/>
    <w:rsid w:val="06D51854"/>
    <w:rsid w:val="06E224E4"/>
    <w:rsid w:val="06F4576E"/>
    <w:rsid w:val="070058ED"/>
    <w:rsid w:val="072842ED"/>
    <w:rsid w:val="07976D19"/>
    <w:rsid w:val="07A73824"/>
    <w:rsid w:val="07CC07D2"/>
    <w:rsid w:val="07DA3CFE"/>
    <w:rsid w:val="08037EE2"/>
    <w:rsid w:val="091A0CCA"/>
    <w:rsid w:val="09420A8E"/>
    <w:rsid w:val="097471DD"/>
    <w:rsid w:val="099A1045"/>
    <w:rsid w:val="09A256F9"/>
    <w:rsid w:val="0A2658EF"/>
    <w:rsid w:val="0A7A745C"/>
    <w:rsid w:val="0AEB2D57"/>
    <w:rsid w:val="0AFC45D4"/>
    <w:rsid w:val="0B404762"/>
    <w:rsid w:val="0B62067E"/>
    <w:rsid w:val="0B626DEC"/>
    <w:rsid w:val="0B855F7E"/>
    <w:rsid w:val="0B9206FD"/>
    <w:rsid w:val="0B9A0FFE"/>
    <w:rsid w:val="0BBB4BBC"/>
    <w:rsid w:val="0C1F6E5E"/>
    <w:rsid w:val="0C206B85"/>
    <w:rsid w:val="0C32647A"/>
    <w:rsid w:val="0C3D62CB"/>
    <w:rsid w:val="0C525545"/>
    <w:rsid w:val="0D7202FA"/>
    <w:rsid w:val="0D8536A8"/>
    <w:rsid w:val="0DA5454E"/>
    <w:rsid w:val="0DA75991"/>
    <w:rsid w:val="0EDD719A"/>
    <w:rsid w:val="0EED3DB3"/>
    <w:rsid w:val="0F5136C0"/>
    <w:rsid w:val="0F78360A"/>
    <w:rsid w:val="0FA34244"/>
    <w:rsid w:val="102062B7"/>
    <w:rsid w:val="10486C99"/>
    <w:rsid w:val="10832FDB"/>
    <w:rsid w:val="109A2AF0"/>
    <w:rsid w:val="10A02C4D"/>
    <w:rsid w:val="11D2703F"/>
    <w:rsid w:val="120D1A1F"/>
    <w:rsid w:val="125D6101"/>
    <w:rsid w:val="12B94D24"/>
    <w:rsid w:val="12C23695"/>
    <w:rsid w:val="131953C2"/>
    <w:rsid w:val="13863FCA"/>
    <w:rsid w:val="1387289B"/>
    <w:rsid w:val="13894C62"/>
    <w:rsid w:val="138A3CBD"/>
    <w:rsid w:val="138F6B73"/>
    <w:rsid w:val="13A8297A"/>
    <w:rsid w:val="13BB045D"/>
    <w:rsid w:val="13BF20EE"/>
    <w:rsid w:val="13DD3993"/>
    <w:rsid w:val="141A7C53"/>
    <w:rsid w:val="141E3E24"/>
    <w:rsid w:val="145B0730"/>
    <w:rsid w:val="147927F8"/>
    <w:rsid w:val="148A50A1"/>
    <w:rsid w:val="14B61A22"/>
    <w:rsid w:val="14DD586C"/>
    <w:rsid w:val="14F204A8"/>
    <w:rsid w:val="155F42E2"/>
    <w:rsid w:val="156D481A"/>
    <w:rsid w:val="15830DD6"/>
    <w:rsid w:val="15D0174A"/>
    <w:rsid w:val="16026B26"/>
    <w:rsid w:val="161A2398"/>
    <w:rsid w:val="16D60D5C"/>
    <w:rsid w:val="16FA1EEA"/>
    <w:rsid w:val="17095030"/>
    <w:rsid w:val="172356C7"/>
    <w:rsid w:val="17720C98"/>
    <w:rsid w:val="178F4D9A"/>
    <w:rsid w:val="17C36D72"/>
    <w:rsid w:val="18181157"/>
    <w:rsid w:val="18352C7A"/>
    <w:rsid w:val="186C65CE"/>
    <w:rsid w:val="18707FE4"/>
    <w:rsid w:val="187679A2"/>
    <w:rsid w:val="188046C1"/>
    <w:rsid w:val="18C745AB"/>
    <w:rsid w:val="193534EA"/>
    <w:rsid w:val="1949555F"/>
    <w:rsid w:val="19D42B02"/>
    <w:rsid w:val="1A0033A8"/>
    <w:rsid w:val="1A2133EC"/>
    <w:rsid w:val="1A2708C1"/>
    <w:rsid w:val="1A2E19C8"/>
    <w:rsid w:val="1A745C61"/>
    <w:rsid w:val="1A7C6625"/>
    <w:rsid w:val="1ACF0032"/>
    <w:rsid w:val="1B1D036B"/>
    <w:rsid w:val="1B370055"/>
    <w:rsid w:val="1B7D6A46"/>
    <w:rsid w:val="1C6537A6"/>
    <w:rsid w:val="1C934422"/>
    <w:rsid w:val="1CB94466"/>
    <w:rsid w:val="1CE37779"/>
    <w:rsid w:val="1D027E40"/>
    <w:rsid w:val="1D4045E5"/>
    <w:rsid w:val="1DDC4D25"/>
    <w:rsid w:val="1E1823DE"/>
    <w:rsid w:val="1E4C0DD8"/>
    <w:rsid w:val="1E5C4D8E"/>
    <w:rsid w:val="1E9F10E2"/>
    <w:rsid w:val="1EB96B5B"/>
    <w:rsid w:val="1F19148B"/>
    <w:rsid w:val="1F7F27F6"/>
    <w:rsid w:val="1FD7766D"/>
    <w:rsid w:val="20126BF3"/>
    <w:rsid w:val="20134F85"/>
    <w:rsid w:val="20530463"/>
    <w:rsid w:val="20FD07C0"/>
    <w:rsid w:val="21175A4C"/>
    <w:rsid w:val="21645F4F"/>
    <w:rsid w:val="216C276A"/>
    <w:rsid w:val="216E48EC"/>
    <w:rsid w:val="21D15555"/>
    <w:rsid w:val="21EB2A6B"/>
    <w:rsid w:val="229077BE"/>
    <w:rsid w:val="231A2EF3"/>
    <w:rsid w:val="23D90E3E"/>
    <w:rsid w:val="24191507"/>
    <w:rsid w:val="2420793E"/>
    <w:rsid w:val="242F2957"/>
    <w:rsid w:val="2469293B"/>
    <w:rsid w:val="24823357"/>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627E33"/>
    <w:rsid w:val="28A616B2"/>
    <w:rsid w:val="28C61583"/>
    <w:rsid w:val="28D16B63"/>
    <w:rsid w:val="28E921CD"/>
    <w:rsid w:val="2934394F"/>
    <w:rsid w:val="293C3219"/>
    <w:rsid w:val="294E6E47"/>
    <w:rsid w:val="2958662D"/>
    <w:rsid w:val="296E1849"/>
    <w:rsid w:val="296E617B"/>
    <w:rsid w:val="29D03263"/>
    <w:rsid w:val="2A993C12"/>
    <w:rsid w:val="2A9D52F4"/>
    <w:rsid w:val="2AA75F42"/>
    <w:rsid w:val="2B370625"/>
    <w:rsid w:val="2B650E2C"/>
    <w:rsid w:val="2BA12CCB"/>
    <w:rsid w:val="2BD715A3"/>
    <w:rsid w:val="2BF253AE"/>
    <w:rsid w:val="2BF95B4F"/>
    <w:rsid w:val="2C225919"/>
    <w:rsid w:val="2C430B45"/>
    <w:rsid w:val="2C8713FC"/>
    <w:rsid w:val="2C8C6458"/>
    <w:rsid w:val="2C9629A2"/>
    <w:rsid w:val="2D0A78E6"/>
    <w:rsid w:val="2D247B91"/>
    <w:rsid w:val="2D3A397F"/>
    <w:rsid w:val="2DB155CE"/>
    <w:rsid w:val="2DF824AE"/>
    <w:rsid w:val="2E170254"/>
    <w:rsid w:val="2E247C4F"/>
    <w:rsid w:val="2E3034BD"/>
    <w:rsid w:val="2E3C2994"/>
    <w:rsid w:val="2E9D6725"/>
    <w:rsid w:val="2F322610"/>
    <w:rsid w:val="2FA71C2C"/>
    <w:rsid w:val="2FBF031F"/>
    <w:rsid w:val="300E426E"/>
    <w:rsid w:val="303C58FE"/>
    <w:rsid w:val="305B42AA"/>
    <w:rsid w:val="308D17A0"/>
    <w:rsid w:val="30B72DB4"/>
    <w:rsid w:val="30C73688"/>
    <w:rsid w:val="30D6335C"/>
    <w:rsid w:val="30F938C5"/>
    <w:rsid w:val="3152597F"/>
    <w:rsid w:val="31721C46"/>
    <w:rsid w:val="31B501BF"/>
    <w:rsid w:val="31E745BA"/>
    <w:rsid w:val="31F604A7"/>
    <w:rsid w:val="323A50F0"/>
    <w:rsid w:val="32F75CED"/>
    <w:rsid w:val="33297F74"/>
    <w:rsid w:val="3348262D"/>
    <w:rsid w:val="334912C7"/>
    <w:rsid w:val="336C1CB6"/>
    <w:rsid w:val="33AE7E7D"/>
    <w:rsid w:val="33F702EF"/>
    <w:rsid w:val="340D52DD"/>
    <w:rsid w:val="342C67CA"/>
    <w:rsid w:val="34824127"/>
    <w:rsid w:val="3486127B"/>
    <w:rsid w:val="34CC6B8D"/>
    <w:rsid w:val="34CF498D"/>
    <w:rsid w:val="34F816AB"/>
    <w:rsid w:val="35005586"/>
    <w:rsid w:val="350D6F38"/>
    <w:rsid w:val="35247A5F"/>
    <w:rsid w:val="35316E83"/>
    <w:rsid w:val="35365D30"/>
    <w:rsid w:val="35383D67"/>
    <w:rsid w:val="35A0707F"/>
    <w:rsid w:val="35AD416C"/>
    <w:rsid w:val="35C14B08"/>
    <w:rsid w:val="35F90162"/>
    <w:rsid w:val="35FD18B8"/>
    <w:rsid w:val="36140B55"/>
    <w:rsid w:val="3628068A"/>
    <w:rsid w:val="36781BE1"/>
    <w:rsid w:val="36883AE4"/>
    <w:rsid w:val="36CD5879"/>
    <w:rsid w:val="36E80731"/>
    <w:rsid w:val="370C49F9"/>
    <w:rsid w:val="371E16DF"/>
    <w:rsid w:val="37314630"/>
    <w:rsid w:val="37595FB5"/>
    <w:rsid w:val="377B7619"/>
    <w:rsid w:val="37A064B7"/>
    <w:rsid w:val="37A23E34"/>
    <w:rsid w:val="37C67FF9"/>
    <w:rsid w:val="37E12459"/>
    <w:rsid w:val="37F06B4E"/>
    <w:rsid w:val="382A637D"/>
    <w:rsid w:val="383A2923"/>
    <w:rsid w:val="383A70C8"/>
    <w:rsid w:val="38BB2241"/>
    <w:rsid w:val="38DD364F"/>
    <w:rsid w:val="38E14EED"/>
    <w:rsid w:val="38E8505C"/>
    <w:rsid w:val="38FF2799"/>
    <w:rsid w:val="394F79A9"/>
    <w:rsid w:val="39555533"/>
    <w:rsid w:val="39A26DC9"/>
    <w:rsid w:val="39DA6378"/>
    <w:rsid w:val="3A114339"/>
    <w:rsid w:val="3AAB5F01"/>
    <w:rsid w:val="3AAC4A7C"/>
    <w:rsid w:val="3AC60452"/>
    <w:rsid w:val="3B4B3FA6"/>
    <w:rsid w:val="3B6162F8"/>
    <w:rsid w:val="3B692B8D"/>
    <w:rsid w:val="3B721FC2"/>
    <w:rsid w:val="3B855F46"/>
    <w:rsid w:val="3BD97B81"/>
    <w:rsid w:val="3BF50F4C"/>
    <w:rsid w:val="3C143E0C"/>
    <w:rsid w:val="3C1F738B"/>
    <w:rsid w:val="3C7C0A1B"/>
    <w:rsid w:val="3CED2288"/>
    <w:rsid w:val="3D2D679A"/>
    <w:rsid w:val="3D411D83"/>
    <w:rsid w:val="3D59154A"/>
    <w:rsid w:val="3D6E436F"/>
    <w:rsid w:val="3D791D7E"/>
    <w:rsid w:val="3D7F4F0B"/>
    <w:rsid w:val="3DA03B15"/>
    <w:rsid w:val="3DA430C6"/>
    <w:rsid w:val="3DD95AFA"/>
    <w:rsid w:val="3DFF1EF8"/>
    <w:rsid w:val="3E0F4079"/>
    <w:rsid w:val="3E406FB9"/>
    <w:rsid w:val="3E645089"/>
    <w:rsid w:val="3EA432EA"/>
    <w:rsid w:val="3EC83C00"/>
    <w:rsid w:val="3ED05521"/>
    <w:rsid w:val="3EE957FE"/>
    <w:rsid w:val="3EF23139"/>
    <w:rsid w:val="3F0262BC"/>
    <w:rsid w:val="3F1818E5"/>
    <w:rsid w:val="3F787D93"/>
    <w:rsid w:val="3FFB68F7"/>
    <w:rsid w:val="3FFE53A5"/>
    <w:rsid w:val="40075866"/>
    <w:rsid w:val="403961EA"/>
    <w:rsid w:val="40F90C7F"/>
    <w:rsid w:val="411357D5"/>
    <w:rsid w:val="41145ABE"/>
    <w:rsid w:val="413540A2"/>
    <w:rsid w:val="41951495"/>
    <w:rsid w:val="42536595"/>
    <w:rsid w:val="42A36E1C"/>
    <w:rsid w:val="42AA1947"/>
    <w:rsid w:val="42B82C2B"/>
    <w:rsid w:val="42FE74B6"/>
    <w:rsid w:val="43161770"/>
    <w:rsid w:val="439D1A95"/>
    <w:rsid w:val="43FB6843"/>
    <w:rsid w:val="445F5174"/>
    <w:rsid w:val="447F785B"/>
    <w:rsid w:val="44A658FB"/>
    <w:rsid w:val="44B03BC9"/>
    <w:rsid w:val="44B16CFF"/>
    <w:rsid w:val="45070061"/>
    <w:rsid w:val="45C565B0"/>
    <w:rsid w:val="45D26FD9"/>
    <w:rsid w:val="45F85DE8"/>
    <w:rsid w:val="464A1E26"/>
    <w:rsid w:val="464B3E69"/>
    <w:rsid w:val="467E7D51"/>
    <w:rsid w:val="468D0324"/>
    <w:rsid w:val="46CB6C09"/>
    <w:rsid w:val="473A4A33"/>
    <w:rsid w:val="475E2D19"/>
    <w:rsid w:val="47AC3932"/>
    <w:rsid w:val="47DD3088"/>
    <w:rsid w:val="47EB0CDC"/>
    <w:rsid w:val="48211BC8"/>
    <w:rsid w:val="482C68E1"/>
    <w:rsid w:val="483E69C5"/>
    <w:rsid w:val="48BB2526"/>
    <w:rsid w:val="48E51AD0"/>
    <w:rsid w:val="491C0BE3"/>
    <w:rsid w:val="492C76BC"/>
    <w:rsid w:val="496679E4"/>
    <w:rsid w:val="498B47F1"/>
    <w:rsid w:val="49BE4B40"/>
    <w:rsid w:val="4A0952BB"/>
    <w:rsid w:val="4A300DBD"/>
    <w:rsid w:val="4A39320D"/>
    <w:rsid w:val="4A430E3F"/>
    <w:rsid w:val="4AA07385"/>
    <w:rsid w:val="4B183B51"/>
    <w:rsid w:val="4B196F1F"/>
    <w:rsid w:val="4B1C2C75"/>
    <w:rsid w:val="4B380954"/>
    <w:rsid w:val="4B536996"/>
    <w:rsid w:val="4B9058EB"/>
    <w:rsid w:val="4BFD7E37"/>
    <w:rsid w:val="4C702BBA"/>
    <w:rsid w:val="4C805C6D"/>
    <w:rsid w:val="4CA46EB0"/>
    <w:rsid w:val="4CBE23CE"/>
    <w:rsid w:val="4CD769BC"/>
    <w:rsid w:val="4CFB3FC6"/>
    <w:rsid w:val="4D2558F1"/>
    <w:rsid w:val="4D752DFF"/>
    <w:rsid w:val="4D7B1CD8"/>
    <w:rsid w:val="4DE62960"/>
    <w:rsid w:val="4E100D3C"/>
    <w:rsid w:val="4E4118E0"/>
    <w:rsid w:val="4E555139"/>
    <w:rsid w:val="4E6526E6"/>
    <w:rsid w:val="4E93279E"/>
    <w:rsid w:val="4E94322C"/>
    <w:rsid w:val="4EC209F0"/>
    <w:rsid w:val="4F034C32"/>
    <w:rsid w:val="4F5308A7"/>
    <w:rsid w:val="4F74653C"/>
    <w:rsid w:val="4FDD24ED"/>
    <w:rsid w:val="4FDD3E90"/>
    <w:rsid w:val="5037777B"/>
    <w:rsid w:val="50731938"/>
    <w:rsid w:val="51361776"/>
    <w:rsid w:val="51600B1E"/>
    <w:rsid w:val="51A364AC"/>
    <w:rsid w:val="51BA08B0"/>
    <w:rsid w:val="51C02C5A"/>
    <w:rsid w:val="51C27A83"/>
    <w:rsid w:val="51CE58E5"/>
    <w:rsid w:val="51F02E86"/>
    <w:rsid w:val="51FF14E5"/>
    <w:rsid w:val="52AC24D9"/>
    <w:rsid w:val="52E56056"/>
    <w:rsid w:val="53AB3DE1"/>
    <w:rsid w:val="53B27B60"/>
    <w:rsid w:val="53B75D03"/>
    <w:rsid w:val="53D308F4"/>
    <w:rsid w:val="53D54629"/>
    <w:rsid w:val="542A14B9"/>
    <w:rsid w:val="543E4348"/>
    <w:rsid w:val="549417C5"/>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C23453"/>
    <w:rsid w:val="582E32C0"/>
    <w:rsid w:val="5879502A"/>
    <w:rsid w:val="58883FF1"/>
    <w:rsid w:val="58BB5B67"/>
    <w:rsid w:val="58C739F2"/>
    <w:rsid w:val="58E63AB7"/>
    <w:rsid w:val="592A2468"/>
    <w:rsid w:val="594F6C2F"/>
    <w:rsid w:val="595A4C77"/>
    <w:rsid w:val="596C18DF"/>
    <w:rsid w:val="59723D4E"/>
    <w:rsid w:val="59755C3B"/>
    <w:rsid w:val="59984226"/>
    <w:rsid w:val="59A01DC1"/>
    <w:rsid w:val="59E14449"/>
    <w:rsid w:val="59F33D20"/>
    <w:rsid w:val="5A0C0BD4"/>
    <w:rsid w:val="5A462418"/>
    <w:rsid w:val="5A5B4BA8"/>
    <w:rsid w:val="5AE67CB2"/>
    <w:rsid w:val="5B32399A"/>
    <w:rsid w:val="5BAB7008"/>
    <w:rsid w:val="5BC26D60"/>
    <w:rsid w:val="5C114079"/>
    <w:rsid w:val="5C9751C1"/>
    <w:rsid w:val="5CB155B2"/>
    <w:rsid w:val="5CF86948"/>
    <w:rsid w:val="5D303546"/>
    <w:rsid w:val="5D882094"/>
    <w:rsid w:val="5DBE5382"/>
    <w:rsid w:val="5DC207D4"/>
    <w:rsid w:val="5E104977"/>
    <w:rsid w:val="5E126555"/>
    <w:rsid w:val="5E2413C5"/>
    <w:rsid w:val="5E5516EB"/>
    <w:rsid w:val="5E58594E"/>
    <w:rsid w:val="5E8A480E"/>
    <w:rsid w:val="5EB24D06"/>
    <w:rsid w:val="5EC00FDE"/>
    <w:rsid w:val="5F000F9E"/>
    <w:rsid w:val="5F213218"/>
    <w:rsid w:val="5FB37032"/>
    <w:rsid w:val="604B310F"/>
    <w:rsid w:val="604E57F2"/>
    <w:rsid w:val="608F5787"/>
    <w:rsid w:val="60B54500"/>
    <w:rsid w:val="610C0AF8"/>
    <w:rsid w:val="61372E62"/>
    <w:rsid w:val="61CE54EB"/>
    <w:rsid w:val="620B1737"/>
    <w:rsid w:val="624F051E"/>
    <w:rsid w:val="625A0DB8"/>
    <w:rsid w:val="62685050"/>
    <w:rsid w:val="62CD2233"/>
    <w:rsid w:val="62D500B6"/>
    <w:rsid w:val="62D82626"/>
    <w:rsid w:val="62E6383E"/>
    <w:rsid w:val="62F85FDE"/>
    <w:rsid w:val="63413B72"/>
    <w:rsid w:val="64140E68"/>
    <w:rsid w:val="64571B9A"/>
    <w:rsid w:val="646E1A2B"/>
    <w:rsid w:val="64A5749D"/>
    <w:rsid w:val="64DD2238"/>
    <w:rsid w:val="657813C0"/>
    <w:rsid w:val="65D95392"/>
    <w:rsid w:val="66445C8F"/>
    <w:rsid w:val="6665468B"/>
    <w:rsid w:val="668A38E9"/>
    <w:rsid w:val="67831A61"/>
    <w:rsid w:val="67AF54A4"/>
    <w:rsid w:val="688E2BC4"/>
    <w:rsid w:val="68A00632"/>
    <w:rsid w:val="68AF4662"/>
    <w:rsid w:val="68FB3B7E"/>
    <w:rsid w:val="690762AF"/>
    <w:rsid w:val="69A0054D"/>
    <w:rsid w:val="69C849F5"/>
    <w:rsid w:val="69F80F2F"/>
    <w:rsid w:val="6A51754C"/>
    <w:rsid w:val="6A68473D"/>
    <w:rsid w:val="6A77390C"/>
    <w:rsid w:val="6AF3713C"/>
    <w:rsid w:val="6B1200AE"/>
    <w:rsid w:val="6B376C34"/>
    <w:rsid w:val="6BA87F93"/>
    <w:rsid w:val="6BD84A7F"/>
    <w:rsid w:val="6C020928"/>
    <w:rsid w:val="6CC02D04"/>
    <w:rsid w:val="6CD068B4"/>
    <w:rsid w:val="6D390973"/>
    <w:rsid w:val="6D441F7E"/>
    <w:rsid w:val="6D6D5F4E"/>
    <w:rsid w:val="6D886EFA"/>
    <w:rsid w:val="6DB854D6"/>
    <w:rsid w:val="6E4008B0"/>
    <w:rsid w:val="6E911C2F"/>
    <w:rsid w:val="6EB02BF7"/>
    <w:rsid w:val="6EBF11EF"/>
    <w:rsid w:val="6F0E2891"/>
    <w:rsid w:val="6F4F1DE3"/>
    <w:rsid w:val="6F93454C"/>
    <w:rsid w:val="70281CDD"/>
    <w:rsid w:val="7067211B"/>
    <w:rsid w:val="70A51511"/>
    <w:rsid w:val="70DB4796"/>
    <w:rsid w:val="70E826BC"/>
    <w:rsid w:val="710B011E"/>
    <w:rsid w:val="710F6F32"/>
    <w:rsid w:val="71512C49"/>
    <w:rsid w:val="71661C44"/>
    <w:rsid w:val="717E223A"/>
    <w:rsid w:val="71B1120F"/>
    <w:rsid w:val="71D64F7C"/>
    <w:rsid w:val="71E0306E"/>
    <w:rsid w:val="71F54C9C"/>
    <w:rsid w:val="71F67298"/>
    <w:rsid w:val="720E018E"/>
    <w:rsid w:val="7254748C"/>
    <w:rsid w:val="72561178"/>
    <w:rsid w:val="7312134A"/>
    <w:rsid w:val="736C170B"/>
    <w:rsid w:val="739D7F65"/>
    <w:rsid w:val="73BA6DE5"/>
    <w:rsid w:val="73DE18E8"/>
    <w:rsid w:val="73E56406"/>
    <w:rsid w:val="74837FC2"/>
    <w:rsid w:val="74956A78"/>
    <w:rsid w:val="75295C38"/>
    <w:rsid w:val="75814B80"/>
    <w:rsid w:val="7582710B"/>
    <w:rsid w:val="75C54221"/>
    <w:rsid w:val="75CD3DB4"/>
    <w:rsid w:val="75F34E22"/>
    <w:rsid w:val="76151BBD"/>
    <w:rsid w:val="76503DEE"/>
    <w:rsid w:val="77090A3A"/>
    <w:rsid w:val="772C57E9"/>
    <w:rsid w:val="77386591"/>
    <w:rsid w:val="773C77FD"/>
    <w:rsid w:val="774D7065"/>
    <w:rsid w:val="777827AE"/>
    <w:rsid w:val="777D7660"/>
    <w:rsid w:val="77A2789E"/>
    <w:rsid w:val="780939AE"/>
    <w:rsid w:val="7810382D"/>
    <w:rsid w:val="785C5927"/>
    <w:rsid w:val="78BD3664"/>
    <w:rsid w:val="790413FD"/>
    <w:rsid w:val="790C65B1"/>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D8299B"/>
    <w:rsid w:val="7AE3339F"/>
    <w:rsid w:val="7AEF5512"/>
    <w:rsid w:val="7B3C50D0"/>
    <w:rsid w:val="7B6125D2"/>
    <w:rsid w:val="7B722606"/>
    <w:rsid w:val="7B8D273A"/>
    <w:rsid w:val="7BD61B09"/>
    <w:rsid w:val="7C335EBE"/>
    <w:rsid w:val="7C3F1C90"/>
    <w:rsid w:val="7C4D4EDE"/>
    <w:rsid w:val="7CC462BF"/>
    <w:rsid w:val="7D263586"/>
    <w:rsid w:val="7D341E05"/>
    <w:rsid w:val="7D783C20"/>
    <w:rsid w:val="7DAA2184"/>
    <w:rsid w:val="7DE878E7"/>
    <w:rsid w:val="7DFA7A18"/>
    <w:rsid w:val="7E5B7F26"/>
    <w:rsid w:val="7E9B6F8B"/>
    <w:rsid w:val="7EA45AFC"/>
    <w:rsid w:val="7EE215A1"/>
    <w:rsid w:val="7EE8035F"/>
    <w:rsid w:val="7F1026C2"/>
    <w:rsid w:val="7F550C86"/>
    <w:rsid w:val="7F5E06CB"/>
    <w:rsid w:val="7F9B0D91"/>
    <w:rsid w:val="7FE671D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21"/>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5">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6">
    <w:name w:val="heading 3"/>
    <w:basedOn w:val="1"/>
    <w:next w:val="7"/>
    <w:qFormat/>
    <w:locked/>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link w:val="20"/>
    <w:qFormat/>
    <w:uiPriority w:val="99"/>
    <w:pPr>
      <w:ind w:firstLine="420" w:firstLineChars="100"/>
    </w:pPr>
  </w:style>
  <w:style w:type="paragraph" w:styleId="3">
    <w:name w:val="Body Text"/>
    <w:basedOn w:val="1"/>
    <w:next w:val="1"/>
    <w:link w:val="19"/>
    <w:qFormat/>
    <w:uiPriority w:val="99"/>
    <w:pPr>
      <w:spacing w:after="120"/>
    </w:pPr>
  </w:style>
  <w:style w:type="paragraph" w:styleId="7">
    <w:name w:val="Normal Indent"/>
    <w:basedOn w:val="1"/>
    <w:qFormat/>
    <w:uiPriority w:val="0"/>
    <w:pPr>
      <w:ind w:firstLine="420"/>
    </w:pPr>
  </w:style>
  <w:style w:type="paragraph" w:styleId="8">
    <w:name w:val="Body Text Indent"/>
    <w:basedOn w:val="1"/>
    <w:link w:val="22"/>
    <w:qFormat/>
    <w:uiPriority w:val="99"/>
    <w:pPr>
      <w:ind w:left="-105" w:firstLine="232" w:firstLineChars="232"/>
    </w:pPr>
    <w:rPr>
      <w:rFonts w:eastAsia="仿宋_GB2312"/>
      <w:sz w:val="32"/>
      <w:szCs w:val="32"/>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3"/>
    <w:semiHidden/>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sz w:val="18"/>
      <w:szCs w:val="18"/>
    </w:rPr>
  </w:style>
  <w:style w:type="paragraph" w:styleId="12">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3">
    <w:name w:val="Message Header"/>
    <w:basedOn w:val="1"/>
    <w:qFormat/>
    <w:uiPriority w:val="0"/>
    <w:pPr>
      <w:adjustRightInd w:val="0"/>
    </w:pPr>
    <w:rPr>
      <w:rFonts w:ascii="Arial" w:hAnsi="Arial"/>
    </w:rPr>
  </w:style>
  <w:style w:type="paragraph" w:styleId="14">
    <w:name w:val="Normal (Web)"/>
    <w:basedOn w:val="1"/>
    <w:unhideWhenUsed/>
    <w:qFormat/>
    <w:uiPriority w:val="99"/>
    <w:pPr>
      <w:widowControl/>
      <w:jc w:val="left"/>
    </w:pPr>
    <w:rPr>
      <w:rFonts w:ascii="宋体" w:hAnsi="宋体" w:cs="宋体"/>
      <w:kern w:val="0"/>
      <w:sz w:val="24"/>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qFormat/>
    <w:uiPriority w:val="99"/>
    <w:rPr>
      <w:color w:val="auto"/>
      <w:u w:val="single"/>
    </w:rPr>
  </w:style>
  <w:style w:type="character" w:customStyle="1" w:styleId="19">
    <w:name w:val="正文文本 字符"/>
    <w:link w:val="3"/>
    <w:semiHidden/>
    <w:qFormat/>
    <w:uiPriority w:val="99"/>
    <w:rPr>
      <w:rFonts w:cs="Calibri"/>
      <w:szCs w:val="21"/>
    </w:rPr>
  </w:style>
  <w:style w:type="character" w:customStyle="1" w:styleId="20">
    <w:name w:val="正文文本首行缩进 字符"/>
    <w:link w:val="2"/>
    <w:semiHidden/>
    <w:qFormat/>
    <w:uiPriority w:val="99"/>
    <w:rPr>
      <w:rFonts w:cs="Calibri"/>
      <w:szCs w:val="21"/>
    </w:rPr>
  </w:style>
  <w:style w:type="character" w:customStyle="1" w:styleId="21">
    <w:name w:val="标题 1 字符"/>
    <w:link w:val="4"/>
    <w:qFormat/>
    <w:uiPriority w:val="9"/>
    <w:rPr>
      <w:rFonts w:cs="Calibri"/>
      <w:b/>
      <w:bCs/>
      <w:kern w:val="44"/>
      <w:sz w:val="44"/>
      <w:szCs w:val="44"/>
    </w:rPr>
  </w:style>
  <w:style w:type="character" w:customStyle="1" w:styleId="22">
    <w:name w:val="正文文本缩进 字符"/>
    <w:link w:val="8"/>
    <w:semiHidden/>
    <w:qFormat/>
    <w:uiPriority w:val="99"/>
    <w:rPr>
      <w:rFonts w:cs="Calibri"/>
      <w:szCs w:val="21"/>
    </w:rPr>
  </w:style>
  <w:style w:type="character" w:customStyle="1" w:styleId="23">
    <w:name w:val="批注框文本 字符"/>
    <w:link w:val="10"/>
    <w:qFormat/>
    <w:locked/>
    <w:uiPriority w:val="99"/>
    <w:rPr>
      <w:rFonts w:ascii="Calibri" w:hAnsi="Calibri" w:cs="Calibri"/>
      <w:kern w:val="2"/>
      <w:sz w:val="18"/>
      <w:szCs w:val="18"/>
    </w:rPr>
  </w:style>
  <w:style w:type="character" w:customStyle="1" w:styleId="24">
    <w:name w:val="页脚 字符"/>
    <w:link w:val="11"/>
    <w:qFormat/>
    <w:locked/>
    <w:uiPriority w:val="99"/>
    <w:rPr>
      <w:rFonts w:ascii="Calibri" w:hAnsi="Calibri" w:cs="Calibri"/>
      <w:kern w:val="2"/>
      <w:sz w:val="18"/>
      <w:szCs w:val="18"/>
    </w:rPr>
  </w:style>
  <w:style w:type="character" w:customStyle="1" w:styleId="25">
    <w:name w:val="页眉 字符"/>
    <w:link w:val="12"/>
    <w:qFormat/>
    <w:locked/>
    <w:uiPriority w:val="99"/>
    <w:rPr>
      <w:rFonts w:ascii="Calibri" w:hAnsi="Calibri" w:cs="Calibri"/>
      <w:kern w:val="2"/>
      <w:sz w:val="18"/>
      <w:szCs w:val="18"/>
    </w:rPr>
  </w:style>
  <w:style w:type="paragraph" w:customStyle="1" w:styleId="26">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7">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8">
    <w:name w:val="font91"/>
    <w:qFormat/>
    <w:uiPriority w:val="99"/>
    <w:rPr>
      <w:rFonts w:ascii="Times New Roman" w:hAnsi="Times New Roman" w:cs="Times New Roman"/>
      <w:color w:val="000000"/>
      <w:sz w:val="24"/>
      <w:szCs w:val="24"/>
      <w:u w:val="none"/>
    </w:rPr>
  </w:style>
  <w:style w:type="character" w:customStyle="1" w:styleId="29">
    <w:name w:val="font101"/>
    <w:qFormat/>
    <w:uiPriority w:val="99"/>
    <w:rPr>
      <w:rFonts w:ascii="宋体" w:hAnsi="宋体" w:eastAsia="宋体" w:cs="宋体"/>
      <w:color w:val="000000"/>
      <w:sz w:val="24"/>
      <w:szCs w:val="24"/>
      <w:u w:val="none"/>
    </w:rPr>
  </w:style>
  <w:style w:type="character" w:customStyle="1" w:styleId="30">
    <w:name w:val="font31"/>
    <w:basedOn w:val="17"/>
    <w:qFormat/>
    <w:uiPriority w:val="0"/>
    <w:rPr>
      <w:rFonts w:hint="default" w:ascii="Times New Roman" w:hAnsi="Times New Roman" w:cs="Times New Roman"/>
      <w:color w:val="000000"/>
      <w:sz w:val="22"/>
      <w:szCs w:val="22"/>
      <w:u w:val="none"/>
    </w:rPr>
  </w:style>
  <w:style w:type="character" w:customStyle="1" w:styleId="31">
    <w:name w:val="font01"/>
    <w:basedOn w:val="17"/>
    <w:qFormat/>
    <w:uiPriority w:val="0"/>
    <w:rPr>
      <w:rFonts w:hint="eastAsia" w:ascii="宋体" w:hAnsi="宋体" w:eastAsia="宋体" w:cs="宋体"/>
      <w:color w:val="000000"/>
      <w:sz w:val="22"/>
      <w:szCs w:val="22"/>
      <w:u w:val="none"/>
    </w:rPr>
  </w:style>
  <w:style w:type="character" w:customStyle="1" w:styleId="32">
    <w:name w:val="font21"/>
    <w:basedOn w:val="17"/>
    <w:qFormat/>
    <w:uiPriority w:val="0"/>
    <w:rPr>
      <w:rFonts w:hint="default" w:ascii="Times New Roman" w:hAnsi="Times New Roman" w:cs="Times New Roman"/>
      <w:color w:val="000000"/>
      <w:sz w:val="22"/>
      <w:szCs w:val="22"/>
      <w:u w:val="none"/>
    </w:rPr>
  </w:style>
  <w:style w:type="character" w:customStyle="1" w:styleId="33">
    <w:name w:val="font51"/>
    <w:basedOn w:val="17"/>
    <w:qFormat/>
    <w:uiPriority w:val="0"/>
    <w:rPr>
      <w:rFonts w:hint="default" w:ascii="Times New Roman" w:hAnsi="Times New Roman" w:cs="Times New Roman"/>
      <w:color w:val="000000"/>
      <w:sz w:val="22"/>
      <w:szCs w:val="22"/>
      <w:u w:val="none"/>
    </w:rPr>
  </w:style>
  <w:style w:type="character" w:customStyle="1" w:styleId="34">
    <w:name w:val="font41"/>
    <w:basedOn w:val="17"/>
    <w:qFormat/>
    <w:uiPriority w:val="0"/>
    <w:rPr>
      <w:rFonts w:hint="eastAsia" w:ascii="宋体" w:hAnsi="宋体" w:eastAsia="宋体" w:cs="宋体"/>
      <w:color w:val="000000"/>
      <w:sz w:val="20"/>
      <w:szCs w:val="20"/>
      <w:u w:val="none"/>
      <w:vertAlign w:val="superscript"/>
    </w:rPr>
  </w:style>
  <w:style w:type="character" w:customStyle="1" w:styleId="35">
    <w:name w:val="font11"/>
    <w:basedOn w:val="17"/>
    <w:qFormat/>
    <w:uiPriority w:val="0"/>
    <w:rPr>
      <w:rFonts w:hint="eastAsia" w:ascii="宋体" w:hAnsi="宋体" w:eastAsia="宋体" w:cs="宋体"/>
      <w:color w:val="000000"/>
      <w:sz w:val="20"/>
      <w:szCs w:val="20"/>
      <w:u w:val="none"/>
      <w:vertAlign w:val="superscript"/>
    </w:rPr>
  </w:style>
  <w:style w:type="character" w:customStyle="1" w:styleId="36">
    <w:name w:val="font71"/>
    <w:basedOn w:val="17"/>
    <w:qFormat/>
    <w:uiPriority w:val="0"/>
    <w:rPr>
      <w:rFonts w:ascii="新宋体" w:hAnsi="新宋体" w:eastAsia="新宋体" w:cs="新宋体"/>
      <w:color w:val="000000"/>
      <w:sz w:val="20"/>
      <w:szCs w:val="20"/>
      <w:u w:val="none"/>
    </w:rPr>
  </w:style>
  <w:style w:type="character" w:customStyle="1" w:styleId="37">
    <w:name w:val="font61"/>
    <w:basedOn w:val="17"/>
    <w:qFormat/>
    <w:uiPriority w:val="0"/>
    <w:rPr>
      <w:rFonts w:hint="default" w:ascii="Times New Roman" w:hAnsi="Times New Roman" w:cs="Times New Roman"/>
      <w:color w:val="FF0000"/>
      <w:sz w:val="20"/>
      <w:szCs w:val="20"/>
      <w:u w:val="none"/>
    </w:rPr>
  </w:style>
  <w:style w:type="paragraph" w:customStyle="1" w:styleId="38">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7"/>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0">
    <w:name w:val="列出段落1"/>
    <w:basedOn w:val="1"/>
    <w:qFormat/>
    <w:uiPriority w:val="0"/>
    <w:pPr>
      <w:widowControl/>
      <w:ind w:left="720"/>
      <w:contextualSpacing/>
      <w:jc w:val="left"/>
    </w:pPr>
    <w:rPr>
      <w:rFonts w:ascii="Calibri" w:hAnsi="Calibri"/>
      <w:kern w:val="0"/>
      <w:sz w:val="24"/>
      <w:szCs w:val="24"/>
      <w:lang w:eastAsia="en-US" w:bidi="en-US"/>
    </w:rPr>
  </w:style>
  <w:style w:type="paragraph" w:customStyle="1" w:styleId="41">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9992</Words>
  <Characters>10597</Characters>
  <Lines>82</Lines>
  <Paragraphs>23</Paragraphs>
  <TotalTime>18</TotalTime>
  <ScaleCrop>false</ScaleCrop>
  <LinksUpToDate>false</LinksUpToDate>
  <CharactersWithSpaces>11144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2025-11-19T02:20:00Z</cp:lastPrinted>
  <dcterms:modified xsi:type="dcterms:W3CDTF">2025-11-19T03:21:18Z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eyJoZGlkIjoiNzNmZjU1YTc0YjdiOTljOGE2M2FlMDEzOGI1NDFkNjYiLCJ1c2VySWQiOiIzMjQyMDI1MjcifQ==</vt:lpwstr>
  </property>
  <property fmtid="{D5CDD505-2E9C-101B-9397-08002B2CF9AE}" pid="4" name="ICV">
    <vt:lpwstr>61B9662519504D74A72111FDAD5BE51C_12</vt:lpwstr>
  </property>
</Properties>
</file>