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86C5B5">
      <w:pPr>
        <w:spacing w:before="120" w:after="120" w:line="0" w:lineRule="atLeast"/>
        <w:jc w:val="center"/>
        <w:outlineLvl w:val="0"/>
        <w:rPr>
          <w:rFonts w:hint="default" w:ascii="黑体" w:hAnsi="宋体" w:eastAsia="黑体" w:cs="黑体"/>
          <w:b w:val="0"/>
          <w:bCs w:val="0"/>
          <w:i w:val="0"/>
          <w:iCs w:val="0"/>
          <w:color w:val="auto"/>
          <w:sz w:val="44"/>
          <w:szCs w:val="44"/>
          <w:highlight w:val="none"/>
          <w:vertAlign w:val="baseline"/>
          <w:lang w:val="en-US" w:eastAsia="zh-CN" w:bidi="ar-SA"/>
        </w:rPr>
      </w:pPr>
      <w:r>
        <w:rPr>
          <w:rFonts w:hint="eastAsia" w:ascii="黑体" w:hAnsi="宋体" w:eastAsia="黑体" w:cs="黑体"/>
          <w:b w:val="0"/>
          <w:bCs w:val="0"/>
          <w:i w:val="0"/>
          <w:iCs w:val="0"/>
          <w:color w:val="auto"/>
          <w:sz w:val="44"/>
          <w:szCs w:val="44"/>
          <w:highlight w:val="none"/>
          <w:vertAlign w:val="baseline"/>
          <w:lang w:val="en-US" w:eastAsia="zh-CN" w:bidi="ar-SA"/>
        </w:rPr>
        <w:t>盐城技师学院智慧图书馆建设项目</w:t>
      </w:r>
    </w:p>
    <w:p w14:paraId="6DC50CC2">
      <w:pPr>
        <w:numPr>
          <w:ilvl w:val="0"/>
          <w:numId w:val="1"/>
        </w:numPr>
        <w:spacing w:before="120" w:after="120" w:line="0" w:lineRule="atLeast"/>
        <w:jc w:val="center"/>
        <w:outlineLvl w:val="0"/>
        <w:rPr>
          <w:rFonts w:hint="default" w:ascii="黑体" w:hAnsi="宋体" w:eastAsia="黑体" w:cs="黑体"/>
          <w:b w:val="0"/>
          <w:bCs w:val="0"/>
          <w:i w:val="0"/>
          <w:iCs w:val="0"/>
          <w:color w:val="auto"/>
          <w:sz w:val="44"/>
          <w:szCs w:val="44"/>
          <w:highlight w:val="none"/>
          <w:vertAlign w:val="baseline"/>
          <w:lang w:val="en-US" w:eastAsia="zh-CN" w:bidi="ar-SA"/>
        </w:rPr>
      </w:pPr>
      <w:r>
        <w:rPr>
          <w:rFonts w:hint="default" w:ascii="黑体" w:hAnsi="宋体" w:eastAsia="黑体" w:cs="黑体"/>
          <w:b w:val="0"/>
          <w:bCs w:val="0"/>
          <w:i w:val="0"/>
          <w:iCs w:val="0"/>
          <w:color w:val="auto"/>
          <w:sz w:val="44"/>
          <w:szCs w:val="44"/>
          <w:highlight w:val="none"/>
          <w:vertAlign w:val="baseline"/>
          <w:lang w:val="en-US" w:eastAsia="zh-CN" w:bidi="ar-SA"/>
        </w:rPr>
        <w:t>采购需求</w:t>
      </w:r>
    </w:p>
    <w:p w14:paraId="DAC9501C">
      <w:pPr>
        <w:spacing w:line="0" w:lineRule="atLeast"/>
        <w:jc w:val="both"/>
      </w:pPr>
    </w:p>
    <w:p w14:paraId="E07CFB31">
      <w:pPr>
        <w:spacing w:line="500" w:lineRule="exact"/>
        <w:jc w:val="both"/>
        <w:rPr>
          <w:rFonts w:hint="default"/>
          <w:lang w:val="en-US"/>
        </w:rPr>
      </w:pPr>
      <w:r>
        <w:rPr>
          <w:rFonts w:hint="default" w:ascii="宋体" w:hAnsi="宋体" w:eastAsia="宋体" w:cs="宋体"/>
          <w:b/>
          <w:bCs/>
          <w:i w:val="0"/>
          <w:iCs w:val="0"/>
          <w:color w:val="auto"/>
          <w:sz w:val="24"/>
          <w:szCs w:val="24"/>
          <w:highlight w:val="none"/>
          <w:vertAlign w:val="baseline"/>
          <w:lang w:val="en-US" w:eastAsia="zh-CN" w:bidi="ar-SA"/>
        </w:rPr>
        <w:t>一、</w:t>
      </w:r>
      <w:r>
        <w:rPr>
          <w:rFonts w:hint="eastAsia" w:ascii="宋体" w:hAnsi="宋体" w:cs="宋体"/>
          <w:b/>
          <w:bCs/>
          <w:i w:val="0"/>
          <w:iCs w:val="0"/>
          <w:color w:val="auto"/>
          <w:sz w:val="24"/>
          <w:szCs w:val="24"/>
          <w:highlight w:val="none"/>
          <w:vertAlign w:val="baseline"/>
          <w:lang w:val="en-US" w:eastAsia="zh-CN" w:bidi="ar-SA"/>
        </w:rPr>
        <w:t>项目内容</w:t>
      </w:r>
    </w:p>
    <w:p w14:paraId="0035A545">
      <w:pPr>
        <w:spacing w:line="500" w:lineRule="exact"/>
        <w:ind w:firstLine="46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本项目为盐城技师学院智慧图书馆建设项目</w:t>
      </w:r>
      <w:r>
        <w:rPr>
          <w:rFonts w:hint="eastAsia" w:ascii="宋体" w:hAnsi="宋体" w:cs="宋体"/>
          <w:b w:val="0"/>
          <w:bCs w:val="0"/>
          <w:i w:val="0"/>
          <w:iCs w:val="0"/>
          <w:color w:val="auto"/>
          <w:sz w:val="24"/>
          <w:szCs w:val="24"/>
          <w:highlight w:val="none"/>
          <w:vertAlign w:val="baseline"/>
          <w:lang w:val="en-US" w:eastAsia="zh-CN" w:bidi="ar-SA"/>
        </w:rPr>
        <w:t>，包含</w:t>
      </w:r>
      <w:r>
        <w:rPr>
          <w:rFonts w:hint="default" w:ascii="宋体" w:hAnsi="宋体" w:eastAsia="宋体" w:cs="宋体"/>
          <w:b w:val="0"/>
          <w:bCs w:val="0"/>
          <w:i w:val="0"/>
          <w:iCs w:val="0"/>
          <w:color w:val="auto"/>
          <w:sz w:val="24"/>
          <w:szCs w:val="24"/>
          <w:highlight w:val="none"/>
          <w:vertAlign w:val="baseline"/>
          <w:lang w:val="en-US" w:eastAsia="zh-CN" w:bidi="ar-SA"/>
        </w:rPr>
        <w:t>盐城技师学院图书馆对中文图书（不包括中小学教辅、教材）配送及分编加工服务的馆配供应商进行采购</w:t>
      </w:r>
      <w:r>
        <w:rPr>
          <w:rFonts w:hint="eastAsia" w:ascii="宋体" w:hAnsi="宋体" w:cs="宋体"/>
          <w:b w:val="0"/>
          <w:bCs w:val="0"/>
          <w:i w:val="0"/>
          <w:iCs w:val="0"/>
          <w:color w:val="auto"/>
          <w:sz w:val="24"/>
          <w:szCs w:val="24"/>
          <w:highlight w:val="none"/>
          <w:vertAlign w:val="baseline"/>
          <w:lang w:val="en-US" w:eastAsia="zh-CN" w:bidi="ar-SA"/>
        </w:rPr>
        <w:t>、对建设智慧图书馆所需的图书管理系统和硬件设备进行采购，</w:t>
      </w:r>
      <w:r>
        <w:rPr>
          <w:rFonts w:hint="default" w:ascii="宋体" w:hAnsi="宋体" w:eastAsia="宋体" w:cs="宋体"/>
          <w:b w:val="0"/>
          <w:bCs w:val="0"/>
          <w:i w:val="0"/>
          <w:iCs w:val="0"/>
          <w:color w:val="auto"/>
          <w:sz w:val="24"/>
          <w:szCs w:val="24"/>
          <w:highlight w:val="none"/>
          <w:vertAlign w:val="baseline"/>
          <w:lang w:val="en-US" w:eastAsia="zh-CN" w:bidi="ar-SA"/>
        </w:rPr>
        <w:t>总招标金额为</w:t>
      </w:r>
      <w:r>
        <w:rPr>
          <w:rFonts w:hint="eastAsia" w:ascii="宋体" w:hAnsi="宋体" w:eastAsia="Arial" w:cs="宋体"/>
          <w:b w:val="0"/>
          <w:bCs w:val="0"/>
          <w:i w:val="0"/>
          <w:iCs w:val="0"/>
          <w:color w:val="auto"/>
          <w:sz w:val="24"/>
          <w:szCs w:val="24"/>
          <w:highlight w:val="none"/>
          <w:vertAlign w:val="baseline"/>
          <w:lang w:val="en-US" w:eastAsia="zh-CN" w:bidi="ar-SA"/>
        </w:rPr>
        <w:t>160</w:t>
      </w:r>
      <w:r>
        <w:rPr>
          <w:rFonts w:hint="default" w:ascii="宋体" w:hAnsi="宋体" w:eastAsia="宋体" w:cs="宋体"/>
          <w:b w:val="0"/>
          <w:bCs w:val="0"/>
          <w:i w:val="0"/>
          <w:iCs w:val="0"/>
          <w:color w:val="auto"/>
          <w:sz w:val="24"/>
          <w:szCs w:val="24"/>
          <w:highlight w:val="none"/>
          <w:vertAlign w:val="baseline"/>
          <w:lang w:val="en-US" w:eastAsia="zh-CN" w:bidi="ar-SA"/>
        </w:rPr>
        <w:t>万元：</w:t>
      </w:r>
    </w:p>
    <w:p w14:paraId="38D7B409">
      <w:pPr>
        <w:spacing w:line="500" w:lineRule="exact"/>
        <w:ind w:firstLine="460"/>
        <w:jc w:val="both"/>
        <w:rPr>
          <w:rFonts w:hint="default"/>
          <w:lang w:val="en-US"/>
        </w:rPr>
      </w:pPr>
      <w:r>
        <w:rPr>
          <w:rFonts w:hint="eastAsia" w:ascii="宋体" w:hAnsi="宋体" w:cs="宋体"/>
          <w:b w:val="0"/>
          <w:bCs w:val="0"/>
          <w:i w:val="0"/>
          <w:iCs w:val="0"/>
          <w:color w:val="auto"/>
          <w:sz w:val="24"/>
          <w:szCs w:val="24"/>
          <w:highlight w:val="none"/>
          <w:vertAlign w:val="baseline"/>
          <w:lang w:val="en-US" w:eastAsia="zh-CN" w:bidi="ar-SA"/>
        </w:rPr>
        <w:t>（一）图书采购实洋110万元（含增值服务5万册旧书加工10万元）</w:t>
      </w:r>
    </w:p>
    <w:p w14:paraId="8258056A">
      <w:pPr>
        <w:spacing w:line="500" w:lineRule="exact"/>
        <w:ind w:firstLine="460"/>
        <w:jc w:val="both"/>
      </w:pPr>
      <w:r>
        <w:rPr>
          <w:rFonts w:hint="default" w:ascii="宋体" w:hAnsi="宋体" w:eastAsia="宋体" w:cs="宋体"/>
          <w:b w:val="0"/>
          <w:bCs w:val="0"/>
          <w:i w:val="0"/>
          <w:iCs w:val="0"/>
          <w:color w:val="auto"/>
          <w:sz w:val="24"/>
          <w:szCs w:val="24"/>
          <w:highlight w:val="none"/>
          <w:vertAlign w:val="baseline"/>
          <w:lang w:val="en-US" w:eastAsia="zh-CN" w:bidi="ar-SA"/>
        </w:rPr>
        <w:t>A类图书为</w:t>
      </w:r>
      <w:r>
        <w:rPr>
          <w:rFonts w:hint="default" w:ascii="宋体" w:hAnsi="宋体" w:eastAsia="宋体" w:cs="宋体"/>
          <w:b/>
          <w:bCs/>
          <w:i w:val="0"/>
          <w:iCs w:val="0"/>
          <w:color w:val="auto"/>
          <w:sz w:val="24"/>
          <w:szCs w:val="24"/>
          <w:highlight w:val="none"/>
          <w:vertAlign w:val="baseline"/>
          <w:lang w:val="en-US" w:eastAsia="zh-CN" w:bidi="ar-SA"/>
        </w:rPr>
        <w:t>2024年1月1日</w:t>
      </w:r>
      <w:r>
        <w:rPr>
          <w:rFonts w:hint="default" w:ascii="宋体" w:hAnsi="宋体" w:eastAsia="宋体" w:cs="宋体"/>
          <w:b w:val="0"/>
          <w:bCs w:val="0"/>
          <w:i w:val="0"/>
          <w:iCs w:val="0"/>
          <w:color w:val="auto"/>
          <w:sz w:val="24"/>
          <w:szCs w:val="24"/>
          <w:highlight w:val="none"/>
          <w:vertAlign w:val="baseline"/>
          <w:lang w:val="en-US" w:eastAsia="zh-CN" w:bidi="ar-SA"/>
        </w:rPr>
        <w:t>之后出版的综合类出版物，实洋30万元；</w:t>
      </w:r>
    </w:p>
    <w:p w14:paraId="87439155">
      <w:pPr>
        <w:adjustRightInd/>
        <w:snapToGrid/>
        <w:spacing w:after="120" w:line="240" w:lineRule="auto"/>
        <w:ind w:left="0" w:leftChars="0" w:firstLine="480" w:firstLineChars="200"/>
        <w:jc w:val="left"/>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B类图书为</w:t>
      </w:r>
      <w:r>
        <w:rPr>
          <w:rFonts w:hint="default" w:ascii="宋体" w:hAnsi="宋体" w:eastAsia="宋体" w:cs="宋体"/>
          <w:b/>
          <w:bCs/>
          <w:i w:val="0"/>
          <w:iCs w:val="0"/>
          <w:color w:val="auto"/>
          <w:sz w:val="24"/>
          <w:szCs w:val="24"/>
          <w:highlight w:val="none"/>
          <w:vertAlign w:val="baseline"/>
          <w:lang w:val="en-US" w:eastAsia="zh-CN" w:bidi="ar-SA"/>
        </w:rPr>
        <w:t>2015年1月1日</w:t>
      </w:r>
      <w:r>
        <w:rPr>
          <w:rFonts w:hint="default" w:ascii="宋体" w:hAnsi="宋体" w:eastAsia="宋体" w:cs="宋体"/>
          <w:b w:val="0"/>
          <w:bCs w:val="0"/>
          <w:i w:val="0"/>
          <w:iCs w:val="0"/>
          <w:color w:val="auto"/>
          <w:sz w:val="24"/>
          <w:szCs w:val="24"/>
          <w:highlight w:val="none"/>
          <w:vertAlign w:val="baseline"/>
          <w:lang w:val="en-US" w:eastAsia="zh-CN" w:bidi="ar-SA"/>
        </w:rPr>
        <w:t>之后出版的社科类出版物，实洋70万元。</w:t>
      </w:r>
    </w:p>
    <w:p w14:paraId="042C0AF1">
      <w:pPr>
        <w:adjustRightInd/>
        <w:snapToGrid/>
        <w:spacing w:after="120" w:line="240" w:lineRule="auto"/>
        <w:ind w:left="0" w:leftChars="0" w:firstLine="480" w:firstLineChars="200"/>
        <w:jc w:val="left"/>
        <w:rPr>
          <w:rFonts w:hint="default" w:ascii="宋体" w:hAnsi="宋体" w:eastAsia="宋体" w:cs="宋体"/>
          <w:b w:val="0"/>
          <w:bCs w:val="0"/>
          <w:i w:val="0"/>
          <w:iCs w:val="0"/>
          <w:color w:val="auto"/>
          <w:sz w:val="24"/>
          <w:szCs w:val="24"/>
          <w:highlight w:val="none"/>
          <w:vertAlign w:val="baseline"/>
          <w:lang w:val="en-US" w:eastAsia="zh-CN" w:bidi="ar-SA"/>
        </w:rPr>
      </w:pPr>
      <w:r>
        <w:rPr>
          <w:rFonts w:hint="eastAsia" w:ascii="宋体" w:hAnsi="宋体" w:cs="宋体"/>
          <w:b w:val="0"/>
          <w:bCs w:val="0"/>
          <w:i w:val="0"/>
          <w:iCs w:val="0"/>
          <w:color w:val="auto"/>
          <w:sz w:val="24"/>
          <w:szCs w:val="24"/>
          <w:highlight w:val="none"/>
          <w:vertAlign w:val="baseline"/>
          <w:lang w:val="en-US" w:eastAsia="zh-CN" w:bidi="ar-SA"/>
        </w:rPr>
        <w:t>（二）智慧图书馆所需的图书管理系统和硬件设备50万元</w:t>
      </w:r>
    </w:p>
    <w:p w14:paraId="7F678D80">
      <w:pPr>
        <w:spacing w:line="500" w:lineRule="exact"/>
        <w:jc w:val="both"/>
        <w:rPr>
          <w:rFonts w:hint="default" w:ascii="宋体" w:hAnsi="宋体" w:eastAsia="宋体" w:cs="宋体"/>
          <w:b/>
          <w:bCs/>
          <w:i w:val="0"/>
          <w:iCs w:val="0"/>
          <w:color w:val="auto"/>
          <w:sz w:val="24"/>
          <w:szCs w:val="24"/>
          <w:highlight w:val="none"/>
          <w:vertAlign w:val="baseline"/>
          <w:lang w:val="en-US" w:eastAsia="zh-CN" w:bidi="ar-SA"/>
        </w:rPr>
      </w:pPr>
      <w:r>
        <w:rPr>
          <w:rFonts w:hint="default" w:ascii="宋体" w:hAnsi="宋体" w:eastAsia="宋体" w:cs="宋体"/>
          <w:b/>
          <w:bCs/>
          <w:i w:val="0"/>
          <w:iCs w:val="0"/>
          <w:color w:val="auto"/>
          <w:sz w:val="24"/>
          <w:szCs w:val="24"/>
          <w:highlight w:val="none"/>
          <w:vertAlign w:val="baseline"/>
          <w:lang w:val="en-US" w:eastAsia="zh-CN" w:bidi="ar-SA"/>
        </w:rPr>
        <w:t>二、</w:t>
      </w:r>
      <w:r>
        <w:rPr>
          <w:rFonts w:hint="eastAsia" w:ascii="宋体" w:hAnsi="宋体" w:cs="宋体"/>
          <w:b/>
          <w:bCs/>
          <w:i w:val="0"/>
          <w:iCs w:val="0"/>
          <w:color w:val="auto"/>
          <w:sz w:val="24"/>
          <w:szCs w:val="24"/>
          <w:highlight w:val="none"/>
          <w:vertAlign w:val="baseline"/>
          <w:lang w:val="en-US" w:eastAsia="zh-CN" w:bidi="ar-SA"/>
        </w:rPr>
        <w:t>智慧图书馆图书采购</w:t>
      </w:r>
    </w:p>
    <w:p w14:paraId="271846F0">
      <w:pPr>
        <w:spacing w:line="500" w:lineRule="exact"/>
        <w:jc w:val="both"/>
      </w:pPr>
      <w:r>
        <w:rPr>
          <w:rFonts w:hint="eastAsia" w:ascii="宋体" w:hAnsi="宋体" w:cs="宋体"/>
          <w:b/>
          <w:bCs/>
          <w:i w:val="0"/>
          <w:iCs w:val="0"/>
          <w:color w:val="auto"/>
          <w:sz w:val="24"/>
          <w:szCs w:val="24"/>
          <w:highlight w:val="none"/>
          <w:vertAlign w:val="baseline"/>
          <w:lang w:val="en-US" w:eastAsia="zh-CN" w:bidi="ar-SA"/>
        </w:rPr>
        <w:t>（一）项目</w:t>
      </w:r>
      <w:r>
        <w:rPr>
          <w:rFonts w:hint="default" w:ascii="宋体" w:hAnsi="宋体" w:eastAsia="宋体" w:cs="宋体"/>
          <w:b/>
          <w:bCs/>
          <w:i w:val="0"/>
          <w:iCs w:val="0"/>
          <w:color w:val="auto"/>
          <w:sz w:val="24"/>
          <w:szCs w:val="24"/>
          <w:highlight w:val="none"/>
          <w:vertAlign w:val="baseline"/>
          <w:lang w:val="en-US" w:eastAsia="zh-CN" w:bidi="ar-SA"/>
        </w:rPr>
        <w:t>技术及服务要求</w:t>
      </w:r>
    </w:p>
    <w:p w14:paraId="942B23B9">
      <w:pPr>
        <w:spacing w:line="500" w:lineRule="exact"/>
        <w:ind w:firstLine="480"/>
        <w:jc w:val="both"/>
      </w:pPr>
      <w:r>
        <w:rPr>
          <w:rFonts w:hint="default" w:ascii="宋体" w:hAnsi="宋体" w:eastAsia="宋体" w:cs="宋体"/>
          <w:b/>
          <w:bCs/>
          <w:i w:val="0"/>
          <w:iCs w:val="0"/>
          <w:color w:val="auto"/>
          <w:sz w:val="24"/>
          <w:szCs w:val="24"/>
          <w:highlight w:val="none"/>
          <w:vertAlign w:val="baseline"/>
          <w:lang w:val="en-US" w:eastAsia="zh-CN" w:bidi="ar-SA"/>
        </w:rPr>
        <w:t>1、图书要求</w:t>
      </w:r>
    </w:p>
    <w:p w14:paraId="48FBD55B">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1.1图书质量要求</w:t>
      </w:r>
    </w:p>
    <w:p w14:paraId="4E8BDF4D">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投标方必须确保所供图书为当年未经使用的国家正式出版物，其它范围或来源的图书需满足采购人个性化需求单独配送。承诺以中标优惠率和服务要求，不得提供非法出版物，为盐城技师学院图书馆提供正版图书。一旦发现盗版书籍或非法出版物，供应商必须承担全部法律和经济责任，同时采购方有权立即与其终止合同，并追究投标违约方法律和经济赔偿责任。</w:t>
      </w:r>
    </w:p>
    <w:p w14:paraId="94474070">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1.2图书数量要求</w:t>
      </w:r>
    </w:p>
    <w:p w14:paraId="E1E1E232">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图书复本须完全按照采购人确认的数量提供，一般复本量3-5册，可根据采购人需求调整，保证所订复本量全部到货，并承诺不加塞图书。</w:t>
      </w:r>
    </w:p>
    <w:p w14:paraId="551515A4">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1.3供应商必须剔除活页图书、中小学教辅、少于50页以及开本在17厘米以下的图书。单册定价在100元（含）以上图书需确认，否则不论加工与否，一律予以退货，由此造成的损失及费用全部由供应商承担。</w:t>
      </w:r>
    </w:p>
    <w:p w14:paraId="175C3FBF">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1.4 本次采购图书涵盖全国百佳图书出版单位出版的图书。</w:t>
      </w:r>
    </w:p>
    <w:p w14:paraId="E5481788">
      <w:pPr>
        <w:spacing w:line="500" w:lineRule="exact"/>
        <w:ind w:firstLine="480"/>
        <w:jc w:val="both"/>
      </w:pPr>
      <w:r>
        <w:rPr>
          <w:rFonts w:hint="default" w:ascii="宋体" w:hAnsi="宋体" w:eastAsia="宋体" w:cs="宋体"/>
          <w:b/>
          <w:bCs/>
          <w:i w:val="0"/>
          <w:iCs w:val="0"/>
          <w:color w:val="auto"/>
          <w:sz w:val="24"/>
          <w:szCs w:val="24"/>
          <w:highlight w:val="none"/>
          <w:vertAlign w:val="baseline"/>
          <w:lang w:val="en-US" w:eastAsia="zh-CN" w:bidi="ar-SA"/>
        </w:rPr>
        <w:t>2、采购要求</w:t>
      </w:r>
    </w:p>
    <w:p w14:paraId="9EBD7408">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2.1供应商应建立“盐城技师学院图书馆订购图书数据库”，认真做好订单查重（本批订单与历史订单查重；本批订单内查重）服务。具备对采购人订购的图书进行随时查重和及时反馈的能力。供应商收到订单之日起，在15天内将复核结果告知采购人，不能供货的图书品种的清单与原因，以便采购人决定是否撤订。复核率将被作为供货能力的一项重要指标。采购人因工作需要调整采编业务流程时，供应商应积极应对和配合。</w:t>
      </w:r>
    </w:p>
    <w:p w14:paraId="AD70A196">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2.2供应商必须保证按采购人订购的图书品种、数量及时供货，除出版商取消出版、推迟出版或发生影响合同履行的不可抗力事件以外，若不能按时供货的图书种数超过该批订单订购数的10%，发生2次以上到货率不合格的工作事故，且无充分理由说明，即视该供应商不具备供货能力。采购人有权要求终止供货，终止供货所造成的损失由供应商承担。</w:t>
      </w:r>
    </w:p>
    <w:p w14:paraId="9861B546">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2.3为尽可能消除因供应商不能按合同规定要求供货所造成的影响，采购人有权要求供应商提供书面整改方案，并采取相应的补救措施（如直接向出版社邮购图书或向其他供货商补订图书），由此给采购人造成的各项损失或增加的各项费用（如折扣损失、邮费、数据费、加工费）等均由违约的供应商承担，从图书结算款中扣除。</w:t>
      </w:r>
    </w:p>
    <w:p w14:paraId="A17687D4">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2.4凡送交到采购人的图书，以图书定价作为计算书款的依据，经采购人验收发现书款与发货单不相符的，采购人通知供应商到验收地核算，供应商接到通知之日起2个工作日内需派员前来核算。结算方式为：</w:t>
      </w:r>
      <w:r>
        <w:rPr>
          <w:rFonts w:hint="default" w:ascii="宋体" w:hAnsi="宋体" w:eastAsia="宋体" w:cs="宋体"/>
          <w:b/>
          <w:bCs/>
          <w:i w:val="0"/>
          <w:iCs w:val="0"/>
          <w:color w:val="auto"/>
          <w:sz w:val="24"/>
          <w:szCs w:val="24"/>
          <w:highlight w:val="none"/>
          <w:u w:val="single" w:color="auto"/>
          <w:vertAlign w:val="baseline"/>
          <w:lang w:val="en-US" w:eastAsia="zh-CN" w:bidi="ar-SA"/>
        </w:rPr>
        <w:t>码洋×（1-投标优惠率）＝实洋，按实洋付款。</w:t>
      </w:r>
    </w:p>
    <w:p w14:paraId="7AB64D6F">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2.5供应商应提供到书率的书面方案及解决措施。供应商在收到每批图书报订单后30天内，到书率达90%以上。重点图书、多卷书到书率必须保证95%以上（订购图书不能按时出版等特殊情况除外）。到货期满，供应商自检批次到书率，填写正式文本，合格后才能预约送书事宜（发书时间，到书电子订单、到书率数据统计表）。如未能如期预约，则被视为放弃该批次订单，订单失效。订单失效后采购人不再接收相应货物，并认定工作事故1次，供应商必须提供书面整改意见。因订单失效的工作事故次数超过2次以上，则认定供应商不具备供货能力。</w:t>
      </w:r>
    </w:p>
    <w:p w14:paraId="2F766C31">
      <w:pPr>
        <w:keepNext/>
        <w:keepLines/>
        <w:spacing w:line="500" w:lineRule="exact"/>
        <w:ind w:firstLine="480"/>
        <w:jc w:val="both"/>
        <w:outlineLvl w:val="2"/>
      </w:pPr>
      <w:r>
        <w:rPr>
          <w:rFonts w:hint="default" w:ascii="宋体" w:hAnsi="宋体" w:eastAsia="宋体" w:cs="宋体"/>
          <w:b w:val="0"/>
          <w:bCs w:val="0"/>
          <w:i w:val="0"/>
          <w:iCs w:val="0"/>
          <w:color w:val="auto"/>
          <w:sz w:val="24"/>
          <w:szCs w:val="24"/>
          <w:highlight w:val="none"/>
          <w:vertAlign w:val="baseline"/>
          <w:lang w:val="en-US" w:eastAsia="zh-CN" w:bidi="ar-SA"/>
        </w:rPr>
        <w:t>2.6必须保证按图书馆订购的图书品种、数量及时供货。能够以机读目录格式（MARC数据）通过因特网免费提供查询及下载，并且有网上订购功能。</w:t>
      </w:r>
    </w:p>
    <w:p w14:paraId="5F2D0CB1">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2.7中标人认真做好订单查重（本批订单与历史订单查重；本批订单互相查重）服务。如发现有重复及时告知采购人。</w:t>
      </w:r>
    </w:p>
    <w:p w14:paraId="25656C96">
      <w:pPr>
        <w:spacing w:line="500" w:lineRule="exact"/>
        <w:ind w:firstLine="480"/>
        <w:jc w:val="both"/>
      </w:pPr>
      <w:r>
        <w:rPr>
          <w:rFonts w:hint="default" w:ascii="宋体" w:hAnsi="宋体" w:eastAsia="宋体" w:cs="宋体"/>
          <w:b/>
          <w:bCs/>
          <w:i w:val="0"/>
          <w:iCs w:val="0"/>
          <w:color w:val="auto"/>
          <w:sz w:val="24"/>
          <w:szCs w:val="24"/>
          <w:highlight w:val="none"/>
          <w:vertAlign w:val="baseline"/>
          <w:lang w:val="en-US" w:eastAsia="zh-CN" w:bidi="ar-SA"/>
        </w:rPr>
        <w:t>3、服务要求</w:t>
      </w:r>
    </w:p>
    <w:p w14:paraId="2035B826">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3.1书目信息服务</w:t>
      </w:r>
    </w:p>
    <w:p w14:paraId="EE20E9AA">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提供《新华书目报：社科新书目》《新华书目报：科技新书目》《全国新书目》《全国地方版科技新书目》及全国300家以上的出版社出版信息。这些书目信息应占合同期限内全国图书出版数量的90%以上。供应商能够根据采购人的要求，提供出版社书目信息或专题书目信息，以保证采购人可依自身的文献建设要求，更全面、完善的进行资源建设。采购人有权根据自身需要决定书目信息的取舍，并制作书目报订单，供应商按订单要求供货。</w:t>
      </w:r>
    </w:p>
    <w:p w14:paraId="9A4E9202">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供应商通过互联网免费提供规范的新书征订书目数据和机读编目数据（数据要参见《中国机读目录式使用手册》），提供的所有数据都能在采购人系统中无障碍使用；编目数据与同批次送达的图书同时到馆，并达到100%的覆盖率。供应商提供的采访数据有EXCEL格式和MARC格式两种。以EXCEL格式的采访数据应包如下项目：ISBN号、书名、著者、出版地、出版社、出版时间、单价、读者对象、内容提要和一级分类号等信息。以Marc格式文件提供书目，保证能导入盐城技师学院图书馆使用的Interlib系统。Marc格式的采访数据应包括如下项目：订购号（征订号）、ISBN号、书名、著者、出版地、出版社、出版时间、丛书名、单价、页码、尺寸、读者对象、内容提要和一级分类号等信息。Marc格式的编目数据遵循国家图书馆标准，包括如下项目：完整的头标区、010、016、100、101、102、105、106、200、205、210、215、225、300、330、461、462、5—、6--、7—等字段。数据中字符集统一为0110，6字段的分类、主题标引都应按《中国图书馆分类法》第5版和《中国分类主题词表》第2版相关规则进行详尽著录。801字段著录为： @aCN@b×××公司（供应商名称）@c20130924，需按照分包提供中文图书采访的预订书目数据，提供的预订书目数据要符合图书馆馆藏建设需求，并能针对图书馆学科建设和读者群需求，及时提供适合馆藏特色要求的订单，每月提供的书目数据应不少于6000条，合同期限内，根据采购人需求，组织甲方工作人员参加线上或者线下的全类图书订货会，全程所需费用由乙方承担。</w:t>
      </w:r>
    </w:p>
    <w:p w14:paraId="5B69F8AF">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3.2打包服务</w:t>
      </w:r>
    </w:p>
    <w:p w14:paraId="D3CA0BA0">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所有订购图书须由供应商免费送到采购人指定地点：盐城技师学院文港路校区图书馆和海洋路校区图书馆。在图书送交到指定地点之前所发生的费用及风险全部均由供应商承担。每件图书外包装使用防潮牛皮纸，并注明单位名称地址、收货人名称、电话、打包单号等，同时清楚标明“小心轻放”、“防潮”等字样。每批图书都要求提供图书单据：电子文档1份（EXCEL格式）、纸制批次汇总单2份、纸制批次明细单2份。电子文档和对应批次编目数据需要发货前发送，纸制单据随货同行，其中一份由采购人采访人员签收，另一份由加工人员验收核对。批次汇总单均含有批次号，包数、种数、册数，码洋数、实洋数等；批次明细单包括批次号，书号、图书书名、出版社、定价、订数，码洋数、实洋数等。</w:t>
      </w:r>
    </w:p>
    <w:p w14:paraId="0D6C9820">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3.3外地采购服务和特需采购服务</w:t>
      </w:r>
    </w:p>
    <w:p w14:paraId="0B3A2405">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外地采购：合同期限内，根据工作需要及图书出版的地域性特点，供应商组织采购人参加全国书博会或北京、上海等其它地方图书订货会的外采活动，每年2-3次（每次2-3人，采购人酌情参加）。供应商派人陪同协助工作，为采购人提供相应的技术与设备等支持。</w:t>
      </w:r>
    </w:p>
    <w:p w14:paraId="F53447CC">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特需采购：主要指急需图书采购和专题图书采购并送达采购人指定地点。急需图书在5个工作日内提供，中标人不得推诿；专题图书采购指采购人指定的特定图书，中标人提供相应图书书目数据供采购人使用。</w:t>
      </w:r>
    </w:p>
    <w:p w14:paraId="8E28D3F3">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3.4验收服务</w:t>
      </w:r>
    </w:p>
    <w:p w14:paraId="945D7C15">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采购人发出的订单上如有不适合采购人收藏的书（如线装书、影印版书、口袋书、小于15厘米的书、散页拆页需要装订的书、教材等），供应商应予剔除；供应商收到订单后，应做查重处理（本批订单与历史订单查重；本批订单互相查重），避免重复订购，并要剔除不适合采购人收藏的书或由于采访数据不完整而造成错订的图书。如采购人订单中有复本量超过通常报订量的应及时告知采购人，并根据采购人回告予以更改。必须对采购人所有订单建立订购数据库，对每次订单进行查重、编号，发现订重的图书必须进行二次确认。另外，所到图书必须与订购图书相符。</w:t>
      </w:r>
    </w:p>
    <w:p w14:paraId="77F71E91">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文献到馆后，采购人对到馆文献进行预审，对报订单和到货单一一比对，并如实记录到书率等数据详情；由采购人再次审核剔除不适合收藏的书，制作退书清单；检查完成后，双方签字确认。文献预审完成，供应商加工人员才能进行拆包验收，分编及加工服务。否则，予以退货，由此造成的任何损失及费用全部由供应商承担。</w:t>
      </w:r>
    </w:p>
    <w:p w14:paraId="CF0E4A0F">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采购人若发现图书有质量问题，如非正版图书，污损、图文不清、缺页、倒页、缺附件等，无论图书是否加工、流通，一律予以退货或换货，而由此造成的任何损失及费用全部由供应商承担。</w:t>
      </w:r>
    </w:p>
    <w:p w14:paraId="CE5E2094">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3.5 加工服务</w:t>
      </w:r>
    </w:p>
    <w:p w14:paraId="D63547A7">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为提高加工效率，图书到馆应与供应商加工人员同时到馆。如阶段性工作量较大，供应商应适时增加加工人员，以保证图书加工效能，供应商加工人员中途不得随意更换，直到所有图书加工完成后才能撤离。如无采购人认可合格人员，则需使用采购人指定个人或机构完成书目数据加工。数据加工人工费用由供应商承担。为保证加工人员正常的工作秩序和工作纪律，供应商应委托采购人对加工人员的日常管理，采购人有义务对加工人员的具体情况向供应商反映；如供应商加工人员违反采购人相关制度与规定，采购人有权要求更换加工人员。采购人提供的相关的采编业务培训和指导时，加工人员应积极配合应用。需要编目、加工的图书除供应商订单内的图书外，还包含采购人其它渠道来源的图书，如接收的赠书、地方文献、年鉴等，处理的数量通过协商安排，供应商应积极地配合。</w:t>
      </w:r>
    </w:p>
    <w:p w14:paraId="8EE5E269">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加工人员应按照要求对每一册图书进行到馆编目、贴书标和RFID电子芯片（高频）等全加工服务，加工错误率不能超过5‰。</w:t>
      </w:r>
    </w:p>
    <w:p w14:paraId="F16F24FE">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现场加工过程中，若图书分类编目质量存在问题，采购人应与中标供应商及时沟通，并于沟通之日起15个工作日内，按照采购人要求，修改好编目错误的图书。若超过规定期限才改正错误，则实行一定的经济惩罚，每册分编错误图书按超过规定期限的天数每天扣掉人民币1元。如果不改正错误，每册分编错误图书扣掉图书码洋的50%。</w:t>
      </w:r>
    </w:p>
    <w:p w14:paraId="6C1F8D64">
      <w:pPr>
        <w:spacing w:line="500" w:lineRule="exact"/>
        <w:ind w:firstLine="48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采购人有权根据业务需要，临时调整图书加工的具体要求，中标供应商应根据采购人的实际工作运行程序，提供高效、优质的服务保障。</w:t>
      </w:r>
    </w:p>
    <w:p w14:paraId="2ED4095B">
      <w:pPr>
        <w:spacing w:line="500" w:lineRule="exact"/>
        <w:ind w:firstLine="480"/>
        <w:jc w:val="both"/>
        <w:rPr>
          <w:rFonts w:hint="default" w:ascii="宋体" w:hAnsi="宋体" w:cs="宋体"/>
          <w:b w:val="0"/>
          <w:bCs w:val="0"/>
          <w:i w:val="0"/>
          <w:iCs w:val="0"/>
          <w:color w:val="auto"/>
          <w:sz w:val="24"/>
          <w:szCs w:val="24"/>
          <w:highlight w:val="none"/>
          <w:vertAlign w:val="baseline"/>
          <w:lang w:val="en-US" w:eastAsia="zh-CN" w:bidi="ar-SA"/>
        </w:rPr>
      </w:pPr>
      <w:r>
        <w:rPr>
          <w:rFonts w:hint="eastAsia" w:ascii="宋体" w:hAnsi="宋体" w:cs="宋体"/>
          <w:b w:val="0"/>
          <w:bCs w:val="0"/>
          <w:i w:val="0"/>
          <w:iCs w:val="0"/>
          <w:color w:val="auto"/>
          <w:sz w:val="24"/>
          <w:szCs w:val="24"/>
          <w:highlight w:val="none"/>
          <w:vertAlign w:val="baseline"/>
          <w:lang w:val="en-US" w:eastAsia="zh-CN" w:bidi="ar-SA"/>
        </w:rPr>
        <w:t>3.6增值服务旧书加工</w:t>
      </w:r>
    </w:p>
    <w:p w14:paraId="0B4491CE">
      <w:pPr>
        <w:spacing w:line="500" w:lineRule="exact"/>
        <w:ind w:firstLine="480"/>
        <w:jc w:val="both"/>
        <w:rPr>
          <w:rFonts w:hint="default" w:ascii="宋体" w:hAnsi="宋体" w:cs="宋体"/>
          <w:b w:val="0"/>
          <w:bCs w:val="0"/>
          <w:i w:val="0"/>
          <w:iCs w:val="0"/>
          <w:color w:val="auto"/>
          <w:sz w:val="24"/>
          <w:szCs w:val="24"/>
          <w:highlight w:val="none"/>
          <w:vertAlign w:val="baseline"/>
          <w:lang w:val="en-US" w:eastAsia="zh-CN" w:bidi="ar-SA"/>
        </w:rPr>
      </w:pPr>
      <w:r>
        <w:rPr>
          <w:rFonts w:hint="eastAsia" w:ascii="宋体" w:hAnsi="宋体" w:cs="宋体"/>
          <w:b/>
          <w:bCs/>
          <w:i w:val="0"/>
          <w:iCs w:val="0"/>
          <w:color w:val="auto"/>
          <w:sz w:val="24"/>
          <w:szCs w:val="24"/>
          <w:highlight w:val="none"/>
          <w:vertAlign w:val="baseline"/>
          <w:lang w:val="en-US" w:eastAsia="zh-CN" w:bidi="ar-SA"/>
        </w:rPr>
        <w:t>5万册</w:t>
      </w:r>
      <w:r>
        <w:rPr>
          <w:rFonts w:hint="default" w:ascii="宋体" w:hAnsi="宋体" w:cs="宋体"/>
          <w:b w:val="0"/>
          <w:bCs w:val="0"/>
          <w:i w:val="0"/>
          <w:iCs w:val="0"/>
          <w:color w:val="auto"/>
          <w:sz w:val="24"/>
          <w:szCs w:val="24"/>
          <w:highlight w:val="none"/>
          <w:vertAlign w:val="baseline"/>
          <w:lang w:val="en-US" w:eastAsia="zh-CN" w:bidi="ar-SA"/>
        </w:rPr>
        <w:t>旧书加工工序要求</w:t>
      </w:r>
      <w:r>
        <w:rPr>
          <w:rFonts w:hint="eastAsia" w:ascii="宋体" w:hAnsi="宋体" w:cs="宋体"/>
          <w:b w:val="0"/>
          <w:bCs w:val="0"/>
          <w:i w:val="0"/>
          <w:iCs w:val="0"/>
          <w:color w:val="auto"/>
          <w:sz w:val="24"/>
          <w:szCs w:val="24"/>
          <w:highlight w:val="none"/>
          <w:vertAlign w:val="baseline"/>
          <w:lang w:val="en-US" w:eastAsia="zh-CN" w:bidi="ar-SA"/>
        </w:rPr>
        <w:t>：</w:t>
      </w:r>
      <w:r>
        <w:rPr>
          <w:rFonts w:hint="default" w:ascii="宋体" w:hAnsi="宋体" w:cs="宋体"/>
          <w:b w:val="0"/>
          <w:bCs w:val="0"/>
          <w:i w:val="0"/>
          <w:iCs w:val="0"/>
          <w:color w:val="auto"/>
          <w:sz w:val="24"/>
          <w:szCs w:val="24"/>
          <w:highlight w:val="none"/>
          <w:vertAlign w:val="baseline"/>
          <w:lang w:val="en-US" w:eastAsia="zh-CN" w:bidi="ar-SA"/>
        </w:rPr>
        <w:t>工序包括</w:t>
      </w:r>
      <w:r>
        <w:rPr>
          <w:rFonts w:hint="default" w:ascii="宋体" w:hAnsi="宋体" w:cs="宋体"/>
          <w:b/>
          <w:bCs/>
          <w:i w:val="0"/>
          <w:iCs w:val="0"/>
          <w:color w:val="auto"/>
          <w:sz w:val="24"/>
          <w:szCs w:val="24"/>
          <w:highlight w:val="none"/>
          <w:vertAlign w:val="baseline"/>
          <w:lang w:val="en-US" w:eastAsia="zh-CN" w:bidi="ar-SA"/>
        </w:rPr>
        <w:t>杀菌</w:t>
      </w:r>
      <w:r>
        <w:rPr>
          <w:rFonts w:hint="default" w:ascii="宋体" w:hAnsi="宋体" w:cs="宋体"/>
          <w:b w:val="0"/>
          <w:bCs w:val="0"/>
          <w:i w:val="0"/>
          <w:iCs w:val="0"/>
          <w:color w:val="auto"/>
          <w:sz w:val="24"/>
          <w:szCs w:val="24"/>
          <w:highlight w:val="none"/>
          <w:vertAlign w:val="baseline"/>
          <w:lang w:val="en-US" w:eastAsia="zh-CN" w:bidi="ar-SA"/>
        </w:rPr>
        <w:t>、剔旧、调库、注销、盘库、定位、去除旧书标、去除旧条码、去除旧磁条、贴新条码、贴新书标、贴新膜、盖印章、贴RFID标签、上架、排序等。</w:t>
      </w:r>
      <w:r>
        <w:rPr>
          <w:rFonts w:hint="eastAsia" w:ascii="宋体" w:hAnsi="宋体" w:cs="宋体"/>
          <w:b w:val="0"/>
          <w:bCs w:val="0"/>
          <w:i w:val="0"/>
          <w:iCs w:val="0"/>
          <w:color w:val="auto"/>
          <w:sz w:val="24"/>
          <w:szCs w:val="24"/>
          <w:highlight w:val="none"/>
          <w:vertAlign w:val="baseline"/>
          <w:lang w:val="en-US" w:eastAsia="zh-CN" w:bidi="ar-SA"/>
        </w:rPr>
        <w:t>工序中</w:t>
      </w:r>
      <w:r>
        <w:rPr>
          <w:rFonts w:hint="default" w:ascii="宋体" w:hAnsi="宋体" w:cs="宋体"/>
          <w:b w:val="0"/>
          <w:bCs w:val="0"/>
          <w:i w:val="0"/>
          <w:iCs w:val="0"/>
          <w:color w:val="auto"/>
          <w:sz w:val="24"/>
          <w:szCs w:val="24"/>
          <w:highlight w:val="none"/>
          <w:vertAlign w:val="baseline"/>
          <w:lang w:val="en-US" w:eastAsia="zh-CN" w:bidi="ar-SA"/>
        </w:rPr>
        <w:t>新条码</w:t>
      </w:r>
      <w:r>
        <w:rPr>
          <w:rFonts w:hint="eastAsia" w:ascii="宋体" w:hAnsi="宋体" w:cs="宋体"/>
          <w:b w:val="0"/>
          <w:bCs w:val="0"/>
          <w:i w:val="0"/>
          <w:iCs w:val="0"/>
          <w:color w:val="auto"/>
          <w:sz w:val="24"/>
          <w:szCs w:val="24"/>
          <w:highlight w:val="none"/>
          <w:vertAlign w:val="baseline"/>
          <w:lang w:val="en-US" w:eastAsia="zh-CN" w:bidi="ar-SA"/>
        </w:rPr>
        <w:t>、</w:t>
      </w:r>
      <w:r>
        <w:rPr>
          <w:rFonts w:hint="default" w:ascii="宋体" w:hAnsi="宋体" w:cs="宋体"/>
          <w:b w:val="0"/>
          <w:bCs w:val="0"/>
          <w:i w:val="0"/>
          <w:iCs w:val="0"/>
          <w:color w:val="auto"/>
          <w:sz w:val="24"/>
          <w:szCs w:val="24"/>
          <w:highlight w:val="none"/>
          <w:vertAlign w:val="baseline"/>
          <w:lang w:val="en-US" w:eastAsia="zh-CN" w:bidi="ar-SA"/>
        </w:rPr>
        <w:t>新书标</w:t>
      </w:r>
      <w:r>
        <w:rPr>
          <w:rFonts w:hint="eastAsia" w:ascii="宋体" w:hAnsi="宋体" w:cs="宋体"/>
          <w:b w:val="0"/>
          <w:bCs w:val="0"/>
          <w:i w:val="0"/>
          <w:iCs w:val="0"/>
          <w:color w:val="auto"/>
          <w:sz w:val="24"/>
          <w:szCs w:val="24"/>
          <w:highlight w:val="none"/>
          <w:vertAlign w:val="baseline"/>
          <w:lang w:val="en-US" w:eastAsia="zh-CN" w:bidi="ar-SA"/>
        </w:rPr>
        <w:t>、</w:t>
      </w:r>
      <w:r>
        <w:rPr>
          <w:rFonts w:hint="default" w:ascii="宋体" w:hAnsi="宋体" w:cs="宋体"/>
          <w:b w:val="0"/>
          <w:bCs w:val="0"/>
          <w:i w:val="0"/>
          <w:iCs w:val="0"/>
          <w:color w:val="auto"/>
          <w:sz w:val="24"/>
          <w:szCs w:val="24"/>
          <w:highlight w:val="none"/>
          <w:vertAlign w:val="baseline"/>
          <w:lang w:val="en-US" w:eastAsia="zh-CN" w:bidi="ar-SA"/>
        </w:rPr>
        <w:t>新膜</w:t>
      </w:r>
      <w:r>
        <w:rPr>
          <w:rFonts w:hint="eastAsia" w:ascii="宋体" w:hAnsi="宋体" w:cs="宋体"/>
          <w:b w:val="0"/>
          <w:bCs w:val="0"/>
          <w:i w:val="0"/>
          <w:iCs w:val="0"/>
          <w:color w:val="auto"/>
          <w:sz w:val="24"/>
          <w:szCs w:val="24"/>
          <w:highlight w:val="none"/>
          <w:vertAlign w:val="baseline"/>
          <w:lang w:val="en-US" w:eastAsia="zh-CN" w:bidi="ar-SA"/>
        </w:rPr>
        <w:t>、</w:t>
      </w:r>
      <w:r>
        <w:rPr>
          <w:rFonts w:hint="default" w:ascii="宋体" w:hAnsi="宋体" w:cs="宋体"/>
          <w:b w:val="0"/>
          <w:bCs w:val="0"/>
          <w:i w:val="0"/>
          <w:iCs w:val="0"/>
          <w:color w:val="auto"/>
          <w:sz w:val="24"/>
          <w:szCs w:val="24"/>
          <w:highlight w:val="none"/>
          <w:vertAlign w:val="baseline"/>
          <w:lang w:val="en-US" w:eastAsia="zh-CN" w:bidi="ar-SA"/>
        </w:rPr>
        <w:t>RFID标签</w:t>
      </w:r>
      <w:r>
        <w:rPr>
          <w:rFonts w:hint="eastAsia" w:ascii="宋体" w:hAnsi="宋体" w:cs="宋体"/>
          <w:b w:val="0"/>
          <w:bCs w:val="0"/>
          <w:i w:val="0"/>
          <w:iCs w:val="0"/>
          <w:color w:val="auto"/>
          <w:sz w:val="24"/>
          <w:szCs w:val="24"/>
          <w:highlight w:val="none"/>
          <w:vertAlign w:val="baseline"/>
          <w:lang w:val="en-US" w:eastAsia="zh-CN" w:bidi="ar-SA"/>
        </w:rPr>
        <w:t>（高频）等所需材料</w:t>
      </w:r>
      <w:r>
        <w:rPr>
          <w:rFonts w:hint="eastAsia" w:ascii="宋体" w:hAnsi="宋体" w:cs="宋体"/>
          <w:b/>
          <w:bCs/>
          <w:i w:val="0"/>
          <w:iCs w:val="0"/>
          <w:color w:val="auto"/>
          <w:sz w:val="24"/>
          <w:szCs w:val="24"/>
          <w:highlight w:val="none"/>
          <w:vertAlign w:val="baseline"/>
          <w:lang w:val="en-US" w:eastAsia="zh-CN" w:bidi="ar-SA"/>
        </w:rPr>
        <w:t>均由</w:t>
      </w:r>
      <w:r>
        <w:rPr>
          <w:rFonts w:hint="default" w:ascii="宋体" w:hAnsi="宋体" w:eastAsia="宋体" w:cs="宋体"/>
          <w:b/>
          <w:bCs/>
          <w:i w:val="0"/>
          <w:iCs w:val="0"/>
          <w:color w:val="auto"/>
          <w:sz w:val="24"/>
          <w:szCs w:val="24"/>
          <w:highlight w:val="none"/>
          <w:vertAlign w:val="baseline"/>
          <w:lang w:val="en-US" w:eastAsia="zh-CN" w:bidi="ar-SA"/>
        </w:rPr>
        <w:t>中标供应商</w:t>
      </w:r>
      <w:r>
        <w:rPr>
          <w:rFonts w:hint="eastAsia" w:ascii="宋体" w:hAnsi="宋体" w:eastAsia="宋体" w:cs="宋体"/>
          <w:b/>
          <w:bCs/>
          <w:i w:val="0"/>
          <w:iCs w:val="0"/>
          <w:color w:val="auto"/>
          <w:sz w:val="24"/>
          <w:szCs w:val="24"/>
          <w:highlight w:val="none"/>
          <w:vertAlign w:val="baseline"/>
          <w:lang w:val="en-US" w:eastAsia="zh-CN" w:bidi="ar-SA"/>
        </w:rPr>
        <w:t>提供。</w:t>
      </w:r>
      <w:r>
        <w:rPr>
          <w:rFonts w:hint="eastAsia" w:ascii="宋体" w:hAnsi="宋体" w:eastAsia="宋体" w:cs="宋体"/>
          <w:b w:val="0"/>
          <w:bCs w:val="0"/>
          <w:i w:val="0"/>
          <w:iCs w:val="0"/>
          <w:color w:val="auto"/>
          <w:sz w:val="24"/>
          <w:szCs w:val="24"/>
          <w:highlight w:val="none"/>
          <w:vertAlign w:val="baseline"/>
          <w:lang w:val="en-US" w:eastAsia="zh-CN" w:bidi="ar-SA"/>
        </w:rPr>
        <w:t>工序</w:t>
      </w:r>
      <w:r>
        <w:rPr>
          <w:rFonts w:hint="default" w:ascii="宋体" w:hAnsi="宋体" w:cs="宋体"/>
          <w:b w:val="0"/>
          <w:bCs w:val="0"/>
          <w:i w:val="0"/>
          <w:iCs w:val="0"/>
          <w:color w:val="auto"/>
          <w:sz w:val="24"/>
          <w:szCs w:val="24"/>
          <w:highlight w:val="none"/>
          <w:vertAlign w:val="baseline"/>
          <w:lang w:val="en-US" w:eastAsia="zh-CN" w:bidi="ar-SA"/>
        </w:rPr>
        <w:t>具体要求：</w:t>
      </w:r>
    </w:p>
    <w:p w14:paraId="43FFF57D">
      <w:pPr>
        <w:numPr>
          <w:ilvl w:val="0"/>
          <w:numId w:val="2"/>
        </w:numPr>
        <w:spacing w:line="500" w:lineRule="exact"/>
        <w:ind w:left="425" w:leftChars="0" w:hanging="425" w:firstLineChars="0"/>
        <w:jc w:val="both"/>
        <w:rPr>
          <w:rFonts w:hint="default" w:ascii="宋体" w:hAnsi="宋体" w:cs="宋体"/>
          <w:b w:val="0"/>
          <w:bCs w:val="0"/>
          <w:i w:val="0"/>
          <w:iCs w:val="0"/>
          <w:color w:val="auto"/>
          <w:sz w:val="24"/>
          <w:szCs w:val="24"/>
          <w:highlight w:val="none"/>
          <w:vertAlign w:val="baseline"/>
          <w:lang w:val="en-US" w:eastAsia="zh-CN" w:bidi="ar-SA"/>
        </w:rPr>
      </w:pPr>
      <w:r>
        <w:rPr>
          <w:rFonts w:hint="default" w:ascii="宋体" w:hAnsi="宋体" w:cs="宋体"/>
          <w:b w:val="0"/>
          <w:bCs w:val="0"/>
          <w:i w:val="0"/>
          <w:iCs w:val="0"/>
          <w:color w:val="auto"/>
          <w:sz w:val="24"/>
          <w:szCs w:val="24"/>
          <w:highlight w:val="none"/>
          <w:vertAlign w:val="baseline"/>
          <w:lang w:val="en-US" w:eastAsia="zh-CN" w:bidi="ar-SA"/>
        </w:rPr>
        <w:t>杀菌：中标方需自备图书高温杀菌设备，用于在图书馆对旧书籍进行消毒，以消灭真菌、青霉菌、寄生生物等有害微生物。</w:t>
      </w:r>
    </w:p>
    <w:p w14:paraId="3A3747FF">
      <w:pPr>
        <w:numPr>
          <w:ilvl w:val="0"/>
          <w:numId w:val="2"/>
        </w:numPr>
        <w:spacing w:line="500" w:lineRule="exact"/>
        <w:ind w:left="425" w:leftChars="0" w:hanging="425" w:firstLineChars="0"/>
        <w:jc w:val="both"/>
        <w:rPr>
          <w:rFonts w:hint="default" w:ascii="宋体" w:hAnsi="宋体" w:cs="宋体"/>
          <w:b w:val="0"/>
          <w:bCs w:val="0"/>
          <w:i w:val="0"/>
          <w:iCs w:val="0"/>
          <w:color w:val="auto"/>
          <w:sz w:val="24"/>
          <w:szCs w:val="24"/>
          <w:highlight w:val="none"/>
          <w:vertAlign w:val="baseline"/>
          <w:lang w:val="en-US" w:eastAsia="zh-CN" w:bidi="ar-SA"/>
        </w:rPr>
      </w:pPr>
      <w:r>
        <w:rPr>
          <w:rFonts w:hint="default" w:ascii="宋体" w:hAnsi="宋体" w:cs="宋体"/>
          <w:b w:val="0"/>
          <w:bCs w:val="0"/>
          <w:i w:val="0"/>
          <w:iCs w:val="0"/>
          <w:color w:val="auto"/>
          <w:sz w:val="24"/>
          <w:szCs w:val="24"/>
          <w:highlight w:val="none"/>
          <w:vertAlign w:val="baseline"/>
          <w:lang w:val="en-US" w:eastAsia="zh-CN" w:bidi="ar-SA"/>
        </w:rPr>
        <w:t>剔旧：中标方按照图书馆要求，将不能再次借阅书籍、教材书籍、不适合学生阅读书籍进行剔出。</w:t>
      </w:r>
    </w:p>
    <w:p w14:paraId="7A6D7406">
      <w:pPr>
        <w:numPr>
          <w:ilvl w:val="0"/>
          <w:numId w:val="2"/>
        </w:numPr>
        <w:spacing w:line="500" w:lineRule="exact"/>
        <w:ind w:left="425" w:leftChars="0" w:hanging="425" w:firstLineChars="0"/>
        <w:jc w:val="both"/>
        <w:rPr>
          <w:rFonts w:hint="default" w:ascii="宋体" w:hAnsi="宋体" w:cs="宋体"/>
          <w:b w:val="0"/>
          <w:bCs w:val="0"/>
          <w:i w:val="0"/>
          <w:iCs w:val="0"/>
          <w:color w:val="auto"/>
          <w:sz w:val="24"/>
          <w:szCs w:val="24"/>
          <w:highlight w:val="none"/>
          <w:vertAlign w:val="baseline"/>
          <w:lang w:val="en-US" w:eastAsia="zh-CN" w:bidi="ar-SA"/>
        </w:rPr>
      </w:pPr>
      <w:r>
        <w:rPr>
          <w:rFonts w:hint="default" w:ascii="宋体" w:hAnsi="宋体" w:cs="宋体"/>
          <w:b w:val="0"/>
          <w:bCs w:val="0"/>
          <w:i w:val="0"/>
          <w:iCs w:val="0"/>
          <w:color w:val="auto"/>
          <w:sz w:val="24"/>
          <w:szCs w:val="24"/>
          <w:highlight w:val="none"/>
          <w:vertAlign w:val="baseline"/>
          <w:lang w:val="en-US" w:eastAsia="zh-CN" w:bidi="ar-SA"/>
        </w:rPr>
        <w:t>去除书标：对学校所有旧书书标进行去除，要求不能残留胶体，不得损坏书籍。</w:t>
      </w:r>
    </w:p>
    <w:p w14:paraId="30CA1878">
      <w:pPr>
        <w:numPr>
          <w:ilvl w:val="0"/>
          <w:numId w:val="2"/>
        </w:numPr>
        <w:spacing w:line="500" w:lineRule="exact"/>
        <w:ind w:left="425" w:leftChars="0" w:hanging="425" w:firstLineChars="0"/>
        <w:jc w:val="both"/>
        <w:rPr>
          <w:rFonts w:hint="default" w:ascii="宋体" w:hAnsi="宋体" w:cs="宋体"/>
          <w:b w:val="0"/>
          <w:bCs w:val="0"/>
          <w:i w:val="0"/>
          <w:iCs w:val="0"/>
          <w:color w:val="auto"/>
          <w:sz w:val="24"/>
          <w:szCs w:val="24"/>
          <w:highlight w:val="none"/>
          <w:vertAlign w:val="baseline"/>
          <w:lang w:val="en-US" w:eastAsia="zh-CN" w:bidi="ar-SA"/>
        </w:rPr>
      </w:pPr>
      <w:r>
        <w:rPr>
          <w:rFonts w:hint="default" w:ascii="宋体" w:hAnsi="宋体" w:cs="宋体"/>
          <w:b w:val="0"/>
          <w:bCs w:val="0"/>
          <w:i w:val="0"/>
          <w:iCs w:val="0"/>
          <w:color w:val="auto"/>
          <w:sz w:val="24"/>
          <w:szCs w:val="24"/>
          <w:highlight w:val="none"/>
          <w:vertAlign w:val="baseline"/>
          <w:lang w:val="en-US" w:eastAsia="zh-CN" w:bidi="ar-SA"/>
        </w:rPr>
        <w:t>去除条码：对学校所有旧书条码去除，要求不能残留胶体，不得损坏书籍。</w:t>
      </w:r>
    </w:p>
    <w:p w14:paraId="748906DE">
      <w:pPr>
        <w:numPr>
          <w:ilvl w:val="0"/>
          <w:numId w:val="2"/>
        </w:numPr>
        <w:spacing w:line="500" w:lineRule="exact"/>
        <w:ind w:left="425" w:leftChars="0" w:hanging="425" w:firstLineChars="0"/>
        <w:jc w:val="both"/>
        <w:rPr>
          <w:rFonts w:hint="default" w:ascii="宋体" w:hAnsi="宋体" w:cs="宋体"/>
          <w:b w:val="0"/>
          <w:bCs w:val="0"/>
          <w:i w:val="0"/>
          <w:iCs w:val="0"/>
          <w:color w:val="auto"/>
          <w:sz w:val="24"/>
          <w:szCs w:val="24"/>
          <w:highlight w:val="none"/>
          <w:vertAlign w:val="baseline"/>
          <w:lang w:val="en-US" w:eastAsia="zh-CN" w:bidi="ar-SA"/>
        </w:rPr>
      </w:pPr>
      <w:r>
        <w:rPr>
          <w:rFonts w:hint="default" w:ascii="宋体" w:hAnsi="宋体" w:cs="宋体"/>
          <w:b w:val="0"/>
          <w:bCs w:val="0"/>
          <w:i w:val="0"/>
          <w:iCs w:val="0"/>
          <w:color w:val="auto"/>
          <w:sz w:val="24"/>
          <w:szCs w:val="24"/>
          <w:highlight w:val="none"/>
          <w:vertAlign w:val="baseline"/>
          <w:lang w:val="en-US" w:eastAsia="zh-CN" w:bidi="ar-SA"/>
        </w:rPr>
        <w:t>去除旧磁条：对学校所有的旧书磁条进行剔除，要求不得损坏书籍。</w:t>
      </w:r>
    </w:p>
    <w:p w14:paraId="7E7272EA">
      <w:pPr>
        <w:numPr>
          <w:ilvl w:val="0"/>
          <w:numId w:val="2"/>
        </w:numPr>
        <w:spacing w:line="500" w:lineRule="exact"/>
        <w:ind w:left="425" w:leftChars="0" w:hanging="425" w:firstLineChars="0"/>
        <w:jc w:val="both"/>
        <w:rPr>
          <w:rFonts w:hint="default" w:ascii="宋体" w:hAnsi="宋体" w:cs="宋体"/>
          <w:b w:val="0"/>
          <w:bCs w:val="0"/>
          <w:i w:val="0"/>
          <w:iCs w:val="0"/>
          <w:color w:val="auto"/>
          <w:sz w:val="24"/>
          <w:szCs w:val="24"/>
          <w:highlight w:val="none"/>
          <w:vertAlign w:val="baseline"/>
          <w:lang w:val="en-US" w:eastAsia="zh-CN" w:bidi="ar-SA"/>
        </w:rPr>
      </w:pPr>
      <w:r>
        <w:rPr>
          <w:rFonts w:hint="default" w:ascii="宋体" w:hAnsi="宋体" w:cs="宋体"/>
          <w:b w:val="0"/>
          <w:bCs w:val="0"/>
          <w:i w:val="0"/>
          <w:iCs w:val="0"/>
          <w:color w:val="auto"/>
          <w:sz w:val="24"/>
          <w:szCs w:val="24"/>
          <w:highlight w:val="none"/>
          <w:vertAlign w:val="baseline"/>
          <w:lang w:val="en-US" w:eastAsia="zh-CN" w:bidi="ar-SA"/>
        </w:rPr>
        <w:t>调库：将不循环借阅书籍放置图书阅览室（三）、可借阅旧书按要求加工后放置图书阅览室（二）。</w:t>
      </w:r>
    </w:p>
    <w:p w14:paraId="077887DB">
      <w:pPr>
        <w:numPr>
          <w:ilvl w:val="0"/>
          <w:numId w:val="2"/>
        </w:numPr>
        <w:spacing w:line="500" w:lineRule="exact"/>
        <w:ind w:left="425" w:leftChars="0" w:hanging="425" w:firstLineChars="0"/>
        <w:jc w:val="both"/>
        <w:rPr>
          <w:rFonts w:hint="default" w:ascii="宋体" w:hAnsi="宋体" w:cs="宋体"/>
          <w:b w:val="0"/>
          <w:bCs w:val="0"/>
          <w:i w:val="0"/>
          <w:iCs w:val="0"/>
          <w:color w:val="auto"/>
          <w:sz w:val="24"/>
          <w:szCs w:val="24"/>
          <w:highlight w:val="none"/>
          <w:vertAlign w:val="baseline"/>
          <w:lang w:val="en-US" w:eastAsia="zh-CN" w:bidi="ar-SA"/>
        </w:rPr>
      </w:pPr>
      <w:r>
        <w:rPr>
          <w:rFonts w:hint="default" w:ascii="宋体" w:hAnsi="宋体" w:cs="宋体"/>
          <w:b w:val="0"/>
          <w:bCs w:val="0"/>
          <w:i w:val="0"/>
          <w:iCs w:val="0"/>
          <w:color w:val="auto"/>
          <w:sz w:val="24"/>
          <w:szCs w:val="24"/>
          <w:highlight w:val="none"/>
          <w:vertAlign w:val="baseline"/>
          <w:lang w:val="en-US" w:eastAsia="zh-CN" w:bidi="ar-SA"/>
        </w:rPr>
        <w:t>粘贴条码（2处）：可再次借阅图书需在书名页和书底页空白处中央各贴上一张条码，且条码必须保持不褪色。条形码的格式由招标方提供。</w:t>
      </w:r>
    </w:p>
    <w:p w14:paraId="175052F0">
      <w:pPr>
        <w:numPr>
          <w:ilvl w:val="0"/>
          <w:numId w:val="2"/>
        </w:numPr>
        <w:spacing w:line="500" w:lineRule="exact"/>
        <w:ind w:left="425" w:leftChars="0" w:hanging="425" w:firstLineChars="0"/>
        <w:jc w:val="both"/>
        <w:rPr>
          <w:rFonts w:hint="default" w:ascii="宋体" w:hAnsi="宋体" w:cs="宋体"/>
          <w:b w:val="0"/>
          <w:bCs w:val="0"/>
          <w:i w:val="0"/>
          <w:iCs w:val="0"/>
          <w:color w:val="auto"/>
          <w:sz w:val="24"/>
          <w:szCs w:val="24"/>
          <w:highlight w:val="none"/>
          <w:vertAlign w:val="baseline"/>
          <w:lang w:val="en-US" w:eastAsia="zh-CN" w:bidi="ar-SA"/>
        </w:rPr>
      </w:pPr>
      <w:r>
        <w:rPr>
          <w:rFonts w:hint="default" w:ascii="宋体" w:hAnsi="宋体" w:cs="宋体"/>
          <w:b w:val="0"/>
          <w:bCs w:val="0"/>
          <w:i w:val="0"/>
          <w:iCs w:val="0"/>
          <w:color w:val="auto"/>
          <w:sz w:val="24"/>
          <w:szCs w:val="24"/>
          <w:highlight w:val="none"/>
          <w:vertAlign w:val="baseline"/>
          <w:lang w:val="en-US" w:eastAsia="zh-CN" w:bidi="ar-SA"/>
        </w:rPr>
        <w:t>加盖章印（2处）：可再次借阅图书加盖馆藏章印，使用蓝色印油.第1个馆藏章位置：书名页正中，条形码正上方；第2个馆藏章位置：盖骑缝章。馆藏章的具体样式将由招标方提供。</w:t>
      </w:r>
    </w:p>
    <w:p w14:paraId="480E28D5">
      <w:pPr>
        <w:numPr>
          <w:ilvl w:val="0"/>
          <w:numId w:val="2"/>
        </w:numPr>
        <w:spacing w:line="500" w:lineRule="exact"/>
        <w:ind w:left="425" w:leftChars="0" w:hanging="425" w:firstLineChars="0"/>
        <w:jc w:val="both"/>
        <w:rPr>
          <w:rFonts w:hint="default" w:ascii="宋体" w:hAnsi="宋体" w:cs="宋体"/>
          <w:b/>
          <w:bCs/>
          <w:i w:val="0"/>
          <w:iCs w:val="0"/>
          <w:color w:val="auto"/>
          <w:sz w:val="24"/>
          <w:szCs w:val="24"/>
          <w:highlight w:val="none"/>
          <w:vertAlign w:val="baseline"/>
          <w:lang w:val="en-US" w:eastAsia="zh-CN" w:bidi="ar-SA"/>
        </w:rPr>
      </w:pPr>
      <w:r>
        <w:rPr>
          <w:rFonts w:hint="default" w:ascii="宋体" w:hAnsi="宋体" w:cs="宋体"/>
          <w:b w:val="0"/>
          <w:bCs w:val="0"/>
          <w:i w:val="0"/>
          <w:iCs w:val="0"/>
          <w:color w:val="auto"/>
          <w:sz w:val="24"/>
          <w:szCs w:val="24"/>
          <w:highlight w:val="none"/>
          <w:vertAlign w:val="baseline"/>
          <w:lang w:val="en-US" w:eastAsia="zh-CN" w:bidi="ar-SA"/>
        </w:rPr>
        <w:t>粘贴RFID标签：在可再次借阅图书最后一页粘贴RFID标签</w:t>
      </w:r>
      <w:r>
        <w:rPr>
          <w:rFonts w:hint="eastAsia" w:ascii="宋体" w:hAnsi="宋体" w:cs="宋体"/>
          <w:b w:val="0"/>
          <w:bCs w:val="0"/>
          <w:i w:val="0"/>
          <w:iCs w:val="0"/>
          <w:color w:val="auto"/>
          <w:sz w:val="24"/>
          <w:szCs w:val="24"/>
          <w:highlight w:val="none"/>
          <w:vertAlign w:val="baseline"/>
          <w:lang w:val="en-US" w:eastAsia="zh-CN" w:bidi="ar-SA"/>
        </w:rPr>
        <w:t>（高频）。</w:t>
      </w:r>
    </w:p>
    <w:p w14:paraId="3B7E721E">
      <w:pPr>
        <w:numPr>
          <w:ilvl w:val="0"/>
          <w:numId w:val="2"/>
        </w:numPr>
        <w:spacing w:line="500" w:lineRule="exact"/>
        <w:ind w:left="425" w:leftChars="0" w:hanging="425" w:firstLineChars="0"/>
        <w:jc w:val="both"/>
        <w:rPr>
          <w:rFonts w:hint="default" w:ascii="宋体" w:hAnsi="宋体" w:cs="宋体"/>
          <w:b w:val="0"/>
          <w:bCs w:val="0"/>
          <w:i w:val="0"/>
          <w:iCs w:val="0"/>
          <w:color w:val="auto"/>
          <w:sz w:val="24"/>
          <w:szCs w:val="24"/>
          <w:highlight w:val="none"/>
          <w:vertAlign w:val="baseline"/>
          <w:lang w:val="en-US" w:eastAsia="zh-CN" w:bidi="ar-SA"/>
        </w:rPr>
      </w:pPr>
      <w:r>
        <w:rPr>
          <w:rFonts w:hint="default" w:ascii="宋体" w:hAnsi="宋体" w:cs="宋体"/>
          <w:b w:val="0"/>
          <w:bCs w:val="0"/>
          <w:i w:val="0"/>
          <w:iCs w:val="0"/>
          <w:color w:val="auto"/>
          <w:sz w:val="24"/>
          <w:szCs w:val="24"/>
          <w:highlight w:val="none"/>
          <w:vertAlign w:val="baseline"/>
          <w:lang w:val="en-US" w:eastAsia="zh-CN" w:bidi="ar-SA"/>
        </w:rPr>
        <w:t>粘贴书标：可再次借阅图书书标要求横向粘贴，书标下边线距离书脊底端2.5cm。</w:t>
      </w:r>
    </w:p>
    <w:p w14:paraId="7DFB3734">
      <w:pPr>
        <w:numPr>
          <w:ilvl w:val="0"/>
          <w:numId w:val="2"/>
        </w:numPr>
        <w:spacing w:line="500" w:lineRule="exact"/>
        <w:ind w:left="425" w:leftChars="0" w:hanging="425" w:firstLineChars="0"/>
        <w:jc w:val="both"/>
        <w:rPr>
          <w:rFonts w:hint="default" w:ascii="宋体" w:hAnsi="宋体" w:cs="宋体"/>
          <w:b w:val="0"/>
          <w:bCs w:val="0"/>
          <w:i w:val="0"/>
          <w:iCs w:val="0"/>
          <w:color w:val="auto"/>
          <w:sz w:val="24"/>
          <w:szCs w:val="24"/>
          <w:highlight w:val="none"/>
          <w:vertAlign w:val="baseline"/>
          <w:lang w:val="en-US" w:eastAsia="zh-CN" w:bidi="ar-SA"/>
        </w:rPr>
      </w:pPr>
      <w:r>
        <w:rPr>
          <w:rFonts w:hint="default" w:ascii="宋体" w:hAnsi="宋体" w:cs="宋体"/>
          <w:b w:val="0"/>
          <w:bCs w:val="0"/>
          <w:i w:val="0"/>
          <w:iCs w:val="0"/>
          <w:color w:val="auto"/>
          <w:sz w:val="24"/>
          <w:szCs w:val="24"/>
          <w:highlight w:val="none"/>
          <w:vertAlign w:val="baseline"/>
          <w:lang w:val="en-US" w:eastAsia="zh-CN" w:bidi="ar-SA"/>
        </w:rPr>
        <w:t>覆膜：可再次借阅图书的书标应使用透明胶带进行封贴处理，务必保证切口整齐，并且粘贴过程中不得出现气泡</w:t>
      </w:r>
    </w:p>
    <w:p w14:paraId="2A20C0A4">
      <w:pPr>
        <w:numPr>
          <w:ilvl w:val="0"/>
          <w:numId w:val="2"/>
        </w:numPr>
        <w:spacing w:line="500" w:lineRule="exact"/>
        <w:ind w:left="425" w:leftChars="0" w:hanging="425" w:firstLineChars="0"/>
        <w:jc w:val="both"/>
        <w:rPr>
          <w:rFonts w:hint="default" w:ascii="宋体" w:hAnsi="宋体" w:cs="宋体"/>
          <w:b w:val="0"/>
          <w:bCs w:val="0"/>
          <w:i w:val="0"/>
          <w:iCs w:val="0"/>
          <w:color w:val="auto"/>
          <w:sz w:val="24"/>
          <w:szCs w:val="24"/>
          <w:highlight w:val="none"/>
          <w:vertAlign w:val="baseline"/>
          <w:lang w:val="en-US" w:eastAsia="zh-CN" w:bidi="ar-SA"/>
        </w:rPr>
      </w:pPr>
      <w:r>
        <w:rPr>
          <w:rFonts w:hint="default" w:ascii="宋体" w:hAnsi="宋体" w:cs="宋体"/>
          <w:b w:val="0"/>
          <w:bCs w:val="0"/>
          <w:i w:val="0"/>
          <w:iCs w:val="0"/>
          <w:color w:val="auto"/>
          <w:sz w:val="24"/>
          <w:szCs w:val="24"/>
          <w:highlight w:val="none"/>
          <w:vertAlign w:val="baseline"/>
          <w:lang w:val="en-US" w:eastAsia="zh-CN" w:bidi="ar-SA"/>
        </w:rPr>
        <w:t>大类排架：可再次借阅图书按照中图分类法对于自然科学、生活、文化、艺术、文学等进行分类并排架。</w:t>
      </w:r>
    </w:p>
    <w:p w14:paraId="6AEF640A">
      <w:pPr>
        <w:numPr>
          <w:ilvl w:val="0"/>
          <w:numId w:val="2"/>
        </w:numPr>
        <w:spacing w:line="500" w:lineRule="exact"/>
        <w:ind w:left="425" w:leftChars="0" w:hanging="425" w:firstLineChars="0"/>
        <w:jc w:val="both"/>
        <w:rPr>
          <w:rFonts w:hint="default" w:ascii="宋体" w:hAnsi="宋体" w:cs="宋体"/>
          <w:b w:val="0"/>
          <w:bCs w:val="0"/>
          <w:i w:val="0"/>
          <w:iCs w:val="0"/>
          <w:color w:val="auto"/>
          <w:sz w:val="24"/>
          <w:szCs w:val="24"/>
          <w:highlight w:val="none"/>
          <w:vertAlign w:val="baseline"/>
          <w:lang w:val="en-US" w:eastAsia="zh-CN" w:bidi="ar-SA"/>
        </w:rPr>
      </w:pPr>
      <w:r>
        <w:rPr>
          <w:rFonts w:hint="default" w:ascii="宋体" w:hAnsi="宋体" w:cs="宋体"/>
          <w:b w:val="0"/>
          <w:bCs w:val="0"/>
          <w:i w:val="0"/>
          <w:iCs w:val="0"/>
          <w:color w:val="auto"/>
          <w:sz w:val="24"/>
          <w:szCs w:val="24"/>
          <w:highlight w:val="none"/>
          <w:vertAlign w:val="baseline"/>
          <w:lang w:val="en-US" w:eastAsia="zh-CN" w:bidi="ar-SA"/>
        </w:rPr>
        <w:t>种次号排架：可再次借阅图书按种次号排架（MARC数据为000至905字段）。提供编目服务，包括添加馆藏信息、数据校验、典藏入库等。</w:t>
      </w:r>
    </w:p>
    <w:p w14:paraId="2521F93C">
      <w:pPr>
        <w:numPr>
          <w:ilvl w:val="0"/>
          <w:numId w:val="2"/>
        </w:numPr>
        <w:spacing w:line="500" w:lineRule="exact"/>
        <w:ind w:left="425" w:leftChars="0" w:hanging="425" w:firstLineChars="0"/>
        <w:jc w:val="both"/>
        <w:rPr>
          <w:rFonts w:hint="default" w:ascii="宋体" w:hAnsi="宋体" w:cs="宋体"/>
          <w:b w:val="0"/>
          <w:bCs w:val="0"/>
          <w:i w:val="0"/>
          <w:iCs w:val="0"/>
          <w:color w:val="auto"/>
          <w:sz w:val="24"/>
          <w:szCs w:val="24"/>
          <w:highlight w:val="none"/>
          <w:vertAlign w:val="baseline"/>
          <w:lang w:val="en-US" w:eastAsia="zh-CN" w:bidi="ar-SA"/>
        </w:rPr>
      </w:pPr>
      <w:r>
        <w:rPr>
          <w:rFonts w:hint="default" w:ascii="宋体" w:hAnsi="宋体" w:cs="宋体"/>
          <w:b w:val="0"/>
          <w:bCs w:val="0"/>
          <w:i w:val="0"/>
          <w:iCs w:val="0"/>
          <w:color w:val="auto"/>
          <w:sz w:val="24"/>
          <w:szCs w:val="24"/>
          <w:highlight w:val="none"/>
          <w:vertAlign w:val="baseline"/>
          <w:lang w:val="en-US" w:eastAsia="zh-CN" w:bidi="ar-SA"/>
        </w:rPr>
        <w:t>定位：将按要求上架图书进行定位，以帮助图书馆更精准地构建其图书资源，为学生提供更加全面和便捷的阅读服务。</w:t>
      </w:r>
    </w:p>
    <w:p w14:paraId="C185C4A0">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3.</w:t>
      </w:r>
      <w:r>
        <w:rPr>
          <w:rFonts w:hint="eastAsia" w:ascii="宋体" w:hAnsi="宋体" w:cs="宋体"/>
          <w:b w:val="0"/>
          <w:bCs w:val="0"/>
          <w:i w:val="0"/>
          <w:iCs w:val="0"/>
          <w:color w:val="auto"/>
          <w:sz w:val="24"/>
          <w:szCs w:val="24"/>
          <w:highlight w:val="none"/>
          <w:vertAlign w:val="baseline"/>
          <w:lang w:val="en-US" w:eastAsia="zh-CN" w:bidi="ar-SA"/>
        </w:rPr>
        <w:t>7</w:t>
      </w:r>
      <w:r>
        <w:rPr>
          <w:rFonts w:hint="default" w:ascii="宋体" w:hAnsi="宋体" w:eastAsia="宋体" w:cs="宋体"/>
          <w:b w:val="0"/>
          <w:bCs w:val="0"/>
          <w:i w:val="0"/>
          <w:iCs w:val="0"/>
          <w:color w:val="auto"/>
          <w:sz w:val="24"/>
          <w:szCs w:val="24"/>
          <w:highlight w:val="none"/>
          <w:vertAlign w:val="baseline"/>
          <w:lang w:val="en-US" w:eastAsia="zh-CN" w:bidi="ar-SA"/>
        </w:rPr>
        <w:t>馆藏数据保障</w:t>
      </w:r>
    </w:p>
    <w:p w14:paraId="D39BEA5C">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采购人要求提供的中文图书 C N M A R C 编目数据字段设置（严格按照国家图书馆中文图书编目规则进行编目，以下字段要求必备或者有则必备）：</w:t>
      </w:r>
    </w:p>
    <w:p w14:paraId="70D00777">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 xml:space="preserve">H E A 头标数据 </w:t>
      </w:r>
    </w:p>
    <w:p w14:paraId="739F2BA8">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 xml:space="preserve">0 1 0 国际标准书号 </w:t>
      </w:r>
    </w:p>
    <w:p w14:paraId="9A5BB509">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 xml:space="preserve">1 0 0 一般处理数据 </w:t>
      </w:r>
    </w:p>
    <w:p w14:paraId="45B0EEA3">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 xml:space="preserve">1 0 1 文献语种 </w:t>
      </w:r>
    </w:p>
    <w:p w14:paraId="2C8BC6FA">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 xml:space="preserve">1 0 2 出版/ 制作国别 </w:t>
      </w:r>
    </w:p>
    <w:p w14:paraId="486136E0">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 xml:space="preserve">1 0 5 编码数据字段：专著性文字资料 </w:t>
      </w:r>
    </w:p>
    <w:p w14:paraId="5A0F0838">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 xml:space="preserve">1 0 6 编码数据字段：文字资料— 形态特征 </w:t>
      </w:r>
    </w:p>
    <w:p w14:paraId="FC0C6608">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 xml:space="preserve">2 0 0 题名与责任说明 </w:t>
      </w:r>
    </w:p>
    <w:p w14:paraId="B3B55E4F">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 xml:space="preserve">2 0 5 版本说明 </w:t>
      </w:r>
    </w:p>
    <w:p w14:paraId="10C29455">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 xml:space="preserve">2 1 0 出版发行等 </w:t>
      </w:r>
    </w:p>
    <w:p w14:paraId="A42E4003">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 xml:space="preserve">2 1 5 载体形态项 </w:t>
      </w:r>
    </w:p>
    <w:p w14:paraId="4E64F8D8">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 xml:space="preserve">2 2 5 丛编项 </w:t>
      </w:r>
    </w:p>
    <w:p w14:paraId="FEBFE22A">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 xml:space="preserve">3 0 0 一般性附注 </w:t>
      </w:r>
    </w:p>
    <w:p w14:paraId="6C3DF298">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 xml:space="preserve">3 0 4 题名与责任说明附注 </w:t>
      </w:r>
    </w:p>
    <w:p w14:paraId="EA25972C">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 xml:space="preserve">3 0 5 版本与书目沿革附注 </w:t>
      </w:r>
    </w:p>
    <w:p w14:paraId="72FD1A5F">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 xml:space="preserve">3 0 6 出版发行附注 </w:t>
      </w:r>
    </w:p>
    <w:p w14:paraId="B6EC0645">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 xml:space="preserve">3 0 7 载体形态附注 </w:t>
      </w:r>
    </w:p>
    <w:p w14:paraId="99F07AEB">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 xml:space="preserve">3 1 4 知识责任附注 </w:t>
      </w:r>
    </w:p>
    <w:p w14:paraId="00BFF6F5">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 xml:space="preserve">3 2 0 文献内书目/ 索引附注 </w:t>
      </w:r>
    </w:p>
    <w:p w14:paraId="C1FB59CA">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 xml:space="preserve">3 2 7 内容附注（章节/ 分卷题名）  </w:t>
      </w:r>
    </w:p>
    <w:p w14:paraId="77E88EAE">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 xml:space="preserve">3 3 0 提要或文摘附注 </w:t>
      </w:r>
    </w:p>
    <w:p w14:paraId="3F861375">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 xml:space="preserve">3 3 3用户/ 使用对象附注 </w:t>
      </w:r>
    </w:p>
    <w:p w14:paraId="7873719D">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4 6 1 总集</w:t>
      </w:r>
    </w:p>
    <w:p w14:paraId="68C40B0A">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4 6 2 分集</w:t>
      </w:r>
    </w:p>
    <w:p w14:paraId="7EB1EF4C">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 xml:space="preserve">5 0 0 统一题名 </w:t>
      </w:r>
    </w:p>
    <w:p w14:paraId="C4524AEB">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 xml:space="preserve">5 1 0 并列正题名 </w:t>
      </w:r>
    </w:p>
    <w:p w14:paraId="8707DE64">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 xml:space="preserve">5 1 2 封面题名 </w:t>
      </w:r>
    </w:p>
    <w:p w14:paraId="476ABE41">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 xml:space="preserve">5 1 6 书脊题名 </w:t>
      </w:r>
    </w:p>
    <w:p w14:paraId="CA95A027">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 xml:space="preserve">5 1 7 其它题名 </w:t>
      </w:r>
    </w:p>
    <w:p w14:paraId="79F270A0">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 xml:space="preserve">5 1 8 现行标准拼写形式的题名（ 2 0 0 为繁体时， 5 1 8 著简体题名）  </w:t>
      </w:r>
    </w:p>
    <w:p w14:paraId="F8B309E6">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 xml:space="preserve">6 0 0 个人名称主题 </w:t>
      </w:r>
    </w:p>
    <w:p w14:paraId="9A56BE1C">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 xml:space="preserve">6 0 1 团体名称主题 </w:t>
      </w:r>
    </w:p>
    <w:p w14:paraId="A93C430B">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 xml:space="preserve">6 0 2 家族名称主题 </w:t>
      </w:r>
    </w:p>
    <w:p w14:paraId="8417BCC7">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6 0 6 论题名称主题</w:t>
      </w:r>
    </w:p>
    <w:p w14:paraId="94C73B3D">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 xml:space="preserve">6 0 7 地理名称主题 </w:t>
      </w:r>
    </w:p>
    <w:p w14:paraId="F91E03FE">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 xml:space="preserve">6 9 0 中图号 </w:t>
      </w:r>
    </w:p>
    <w:p w14:paraId="EA852523">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 xml:space="preserve">7 0 1 个人名称- 主要责任者 </w:t>
      </w:r>
    </w:p>
    <w:p w14:paraId="999342D6">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 xml:space="preserve">7 0 2 个人名称- 次要责任者 </w:t>
      </w:r>
    </w:p>
    <w:p w14:paraId="7745D407">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 xml:space="preserve">7 1 1 团体名称- 主要责任者 </w:t>
      </w:r>
    </w:p>
    <w:p w14:paraId="A4967EA8">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 xml:space="preserve">7 1 2 团体名称- 次要责任者 </w:t>
      </w:r>
    </w:p>
    <w:p w14:paraId="438A644C">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 xml:space="preserve">7 3 0 非规范名称（ 2 0 0 为繁体时， 7 0 1 著简体， 7 3 0 著繁体供繁体检索）  </w:t>
      </w:r>
    </w:p>
    <w:p w14:paraId="EC373166">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 xml:space="preserve">8 0 1 记录来源 </w:t>
      </w:r>
    </w:p>
    <w:p w14:paraId="BED2191A">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9 0 5 馆藏信息</w:t>
      </w:r>
    </w:p>
    <w:p w14:paraId="CF72E8F0">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3.7文献分编加工要求</w:t>
      </w:r>
    </w:p>
    <w:p w14:paraId="AB7D9767">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 xml:space="preserve">参照招标文件附件1《盐城技师学院图书馆中文图书分编及加工细则》。 </w:t>
      </w:r>
    </w:p>
    <w:p w14:paraId="1B1EA543">
      <w:pPr>
        <w:spacing w:line="500" w:lineRule="exact"/>
        <w:ind w:firstLine="480"/>
        <w:jc w:val="both"/>
      </w:pPr>
      <w:r>
        <w:rPr>
          <w:rFonts w:hint="default" w:ascii="宋体" w:hAnsi="宋体" w:eastAsia="宋体" w:cs="宋体"/>
          <w:b/>
          <w:bCs/>
          <w:i w:val="0"/>
          <w:iCs w:val="0"/>
          <w:color w:val="auto"/>
          <w:sz w:val="24"/>
          <w:szCs w:val="24"/>
          <w:highlight w:val="none"/>
          <w:vertAlign w:val="baseline"/>
          <w:lang w:val="en-US" w:eastAsia="zh-CN" w:bidi="ar-SA"/>
        </w:rPr>
        <w:t>4、供货能力的认可</w:t>
      </w:r>
    </w:p>
    <w:p w14:paraId="D27D2894">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供应商必须保证按采购人订购的图书品种、数量及时供货，除出版商取消出版、推迟出版或发生影响合同履行的不可抗力事件外。</w:t>
      </w:r>
    </w:p>
    <w:p w14:paraId="7DEF714A">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有下列情形之一的，采购人认可供应商为不具备供货能力，有权要求提前终止供货合同，终止供货所造成的损失由供应商承担，并取消供应商参加下一年度采购人的馆配供应商投标资格。</w:t>
      </w:r>
    </w:p>
    <w:p w14:paraId="CA3A6591">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①供应商不能如期到货，或到货后加工人员不能同时到馆交接、加工。</w:t>
      </w:r>
    </w:p>
    <w:p w14:paraId="59EC4D4B">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②供应商不能同期提供编目数据，或提供的编目数据规范不符合采购人要求。</w:t>
      </w:r>
    </w:p>
    <w:p w14:paraId="13420227">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③在约定时间内，供应商到书率不达标，采购人有权拒绝接收此批次图书。</w:t>
      </w:r>
    </w:p>
    <w:p w14:paraId="755459D2">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④在合同期内，供应商未能履行招标文件中有关优惠、服务条款措施的。</w:t>
      </w:r>
    </w:p>
    <w:p w14:paraId="BEF7E839">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⑤在合同期内，经采购人服务评估报告考核结果不符合要求的。</w:t>
      </w:r>
    </w:p>
    <w:p w14:paraId="2B75D9A5">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⑥采购人认定有更改预订单、塞书、搭配情形，累计达两次的，有权退回当批次图书，退回所产生的费用由供应商承担，并要求暂时停止供货进行整改。</w:t>
      </w:r>
    </w:p>
    <w:p w14:paraId="9AF8085F">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⑦现场加工服务人员中至少2人为合同中实际提供加工服务的人员。</w:t>
      </w:r>
    </w:p>
    <w:p w14:paraId="36E69A8E">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⑧除上述其他条款以外认定不具备供货能力的。</w:t>
      </w:r>
    </w:p>
    <w:p w14:paraId="24B14C5C">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为尽可能消除因供应商不能按合同规定要求供货所造成的影响，采购人有权要求供应商提供书面供货整改方案，并采取相应的补救措施（如在规定时间内向出版社邮购图书或向其他供货商补订图书），由此给采购人造成的各项损失或增加的各项费用（如折扣损失、邮费、数据费、加工费）等均由违约的供应商承担，并从图书结算款中扣除。如供应商经一次整改后，仍然达不到供货要求的，采购人有权提前终止供货合同的。</w:t>
      </w:r>
    </w:p>
    <w:p w14:paraId="C9188C33">
      <w:pPr>
        <w:spacing w:line="500" w:lineRule="exact"/>
        <w:ind w:firstLine="480"/>
        <w:jc w:val="both"/>
      </w:pPr>
      <w:r>
        <w:rPr>
          <w:rFonts w:hint="default" w:ascii="宋体" w:hAnsi="宋体" w:eastAsia="宋体" w:cs="宋体"/>
          <w:b/>
          <w:bCs/>
          <w:i w:val="0"/>
          <w:iCs w:val="0"/>
          <w:color w:val="auto"/>
          <w:sz w:val="24"/>
          <w:szCs w:val="24"/>
          <w:highlight w:val="none"/>
          <w:vertAlign w:val="baseline"/>
          <w:lang w:val="en-US" w:eastAsia="zh-CN" w:bidi="ar-SA"/>
        </w:rPr>
        <w:t>5、其它要求</w:t>
      </w:r>
    </w:p>
    <w:p w14:paraId="9D0898EB">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供应商为采购人的资格供货商，供货有效时间为按招标文件为准（以签订合同日期开始计算）。</w:t>
      </w:r>
    </w:p>
    <w:p w14:paraId="912BF1A0">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本次招标内容为综合类图书、社科类图书等。供应商必须按采购人要求，保证采购人自备书目的采购。</w:t>
      </w:r>
    </w:p>
    <w:p w14:paraId="C5AE62A1">
      <w:pPr>
        <w:spacing w:line="500" w:lineRule="exact"/>
        <w:ind w:firstLine="480"/>
        <w:jc w:val="both"/>
      </w:pPr>
      <w:r>
        <w:rPr>
          <w:rFonts w:hint="default" w:ascii="宋体" w:hAnsi="宋体" w:eastAsia="宋体" w:cs="宋体"/>
          <w:b w:val="0"/>
          <w:bCs w:val="0"/>
          <w:i/>
          <w:iCs/>
          <w:color w:val="auto"/>
          <w:sz w:val="24"/>
          <w:szCs w:val="24"/>
          <w:highlight w:val="none"/>
          <w:u w:val="single" w:color="auto"/>
          <w:vertAlign w:val="baseline"/>
          <w:lang w:val="en-US" w:eastAsia="zh-CN" w:bidi="ar-SA"/>
        </w:rPr>
        <w:t>供应商须承诺所供应图书100%是正版图书，包括图书装帧质量与印刷质量,假一赔十；保证所供应图书的内容、版本及进货来源合法，必须符合国家意识形态管理规定,对所供应图书的版本、知识产权、进货来源负相应的法律责任。投标时须提供以上内容承诺书并加盖投标人公章，不提供按无效标处理。</w:t>
      </w:r>
    </w:p>
    <w:p w14:paraId="E22AE1BB">
      <w:pPr>
        <w:spacing w:line="500" w:lineRule="exact"/>
        <w:ind w:firstLine="480"/>
        <w:jc w:val="both"/>
      </w:pPr>
      <w:r>
        <w:rPr>
          <w:rFonts w:hint="default" w:ascii="宋体" w:hAnsi="宋体" w:eastAsia="宋体" w:cs="宋体"/>
          <w:b w:val="0"/>
          <w:bCs w:val="0"/>
          <w:i/>
          <w:iCs/>
          <w:color w:val="auto"/>
          <w:sz w:val="24"/>
          <w:szCs w:val="24"/>
          <w:highlight w:val="none"/>
          <w:u w:val="single" w:color="auto"/>
          <w:vertAlign w:val="baseline"/>
          <w:lang w:val="en-US" w:eastAsia="zh-CN" w:bidi="ar-SA"/>
        </w:rPr>
        <w:t>本招标文件中斜体且有下划线部分为实质性要求和条件。</w:t>
      </w:r>
    </w:p>
    <w:p w14:paraId="A412606A">
      <w:pPr>
        <w:spacing w:line="494" w:lineRule="exact"/>
        <w:jc w:val="both"/>
      </w:pPr>
      <w:r>
        <w:rPr>
          <w:rFonts w:hint="eastAsia" w:ascii="宋体" w:hAnsi="宋体" w:cs="宋体"/>
          <w:b/>
          <w:bCs/>
          <w:i w:val="0"/>
          <w:iCs w:val="0"/>
          <w:color w:val="auto"/>
          <w:sz w:val="24"/>
          <w:szCs w:val="24"/>
          <w:highlight w:val="none"/>
          <w:vertAlign w:val="baseline"/>
          <w:lang w:val="en-US" w:eastAsia="zh-CN" w:bidi="ar-SA"/>
        </w:rPr>
        <w:t>（二）</w:t>
      </w:r>
      <w:r>
        <w:rPr>
          <w:rFonts w:hint="default" w:ascii="宋体" w:hAnsi="宋体" w:eastAsia="宋体" w:cs="宋体"/>
          <w:b/>
          <w:bCs/>
          <w:i w:val="0"/>
          <w:iCs w:val="0"/>
          <w:color w:val="auto"/>
          <w:sz w:val="24"/>
          <w:szCs w:val="24"/>
          <w:highlight w:val="none"/>
          <w:vertAlign w:val="baseline"/>
          <w:lang w:val="en-US" w:eastAsia="zh-CN" w:bidi="ar-SA"/>
        </w:rPr>
        <w:t>、报价要求</w:t>
      </w:r>
    </w:p>
    <w:p w14:paraId="F25FB8BA">
      <w:pPr>
        <w:tabs>
          <w:tab w:val="left" w:pos="1000"/>
        </w:tabs>
        <w:spacing w:line="494" w:lineRule="exact"/>
        <w:ind w:firstLine="460"/>
        <w:jc w:val="left"/>
      </w:pPr>
      <w:r>
        <w:rPr>
          <w:rFonts w:hint="default" w:ascii="宋体" w:hAnsi="宋体" w:eastAsia="Arial" w:cs="宋体"/>
          <w:b w:val="0"/>
          <w:bCs w:val="0"/>
          <w:i w:val="0"/>
          <w:iCs w:val="0"/>
          <w:color w:val="auto"/>
          <w:sz w:val="24"/>
          <w:szCs w:val="24"/>
          <w:highlight w:val="none"/>
          <w:vertAlign w:val="baseline"/>
          <w:lang w:val="en-US" w:eastAsia="zh-CN" w:bidi="ar-SA"/>
        </w:rPr>
        <w:t>1、本项目采用优惠率报价，报价应包含以下内容：为完成招标文件所确定的招标内容的全部价格体现，包含但不限于采购、运输、装卸、不符合采购人要求的等免费更换、包装、机械、劳务、利润、评审、招标代理费等以及合同履行过程中包含的所有风险、责任、政策性文件规定以及不可竞争费、以及应由供应商支付的规费及税金等一切费用。招标文件未列明，而供应商认为必须的费用也须列入报价。投标人应根据招标文件的要求，结合项目实际情况，合理报价。服务期内政策调整风险费等本项目招标文件规定的全部费用</w:t>
      </w:r>
      <w:r>
        <w:rPr>
          <w:rFonts w:hint="default" w:ascii="宋体" w:hAnsi="宋体" w:eastAsia="宋体" w:cs="宋体"/>
          <w:b w:val="0"/>
          <w:bCs w:val="0"/>
          <w:i w:val="0"/>
          <w:iCs w:val="0"/>
          <w:color w:val="auto"/>
          <w:sz w:val="24"/>
          <w:szCs w:val="24"/>
          <w:highlight w:val="none"/>
          <w:vertAlign w:val="baseline"/>
          <w:lang w:val="en-US" w:eastAsia="zh-CN" w:bidi="ar-SA"/>
        </w:rPr>
        <w:t>，</w:t>
      </w:r>
      <w:r>
        <w:rPr>
          <w:rFonts w:hint="default" w:ascii="宋体" w:hAnsi="宋体" w:eastAsia="Arial" w:cs="宋体"/>
          <w:b w:val="0"/>
          <w:bCs w:val="0"/>
          <w:i w:val="0"/>
          <w:iCs w:val="0"/>
          <w:color w:val="auto"/>
          <w:sz w:val="24"/>
          <w:szCs w:val="24"/>
          <w:highlight w:val="none"/>
          <w:vertAlign w:val="baseline"/>
          <w:lang w:val="en-US" w:eastAsia="zh-CN" w:bidi="ar-SA"/>
        </w:rPr>
        <w:t>投标人中标后投标报价不再调整。</w:t>
      </w:r>
    </w:p>
    <w:p w14:paraId="3F6B67EA">
      <w:pPr>
        <w:tabs>
          <w:tab w:val="left" w:pos="1000"/>
        </w:tabs>
        <w:spacing w:line="494" w:lineRule="exact"/>
        <w:ind w:firstLine="460"/>
        <w:jc w:val="left"/>
      </w:pPr>
      <w:r>
        <w:rPr>
          <w:rFonts w:hint="default" w:ascii="宋体" w:hAnsi="宋体" w:eastAsia="Arial" w:cs="宋体"/>
          <w:b/>
          <w:bCs/>
          <w:i w:val="0"/>
          <w:iCs w:val="0"/>
          <w:color w:val="auto"/>
          <w:sz w:val="24"/>
          <w:szCs w:val="24"/>
          <w:highlight w:val="none"/>
          <w:vertAlign w:val="baseline"/>
          <w:lang w:val="en-US" w:eastAsia="zh-CN" w:bidi="ar-SA"/>
        </w:rPr>
        <w:t>2、结算方式为：码洋×（1-投标优惠率）＝实洋，按实洋付款。</w:t>
      </w:r>
    </w:p>
    <w:p w14:paraId="E6BB0E03">
      <w:pPr>
        <w:spacing w:line="494" w:lineRule="exact"/>
        <w:jc w:val="both"/>
      </w:pPr>
      <w:r>
        <w:rPr>
          <w:rFonts w:hint="eastAsia" w:ascii="宋体" w:hAnsi="宋体" w:cs="宋体"/>
          <w:b/>
          <w:bCs/>
          <w:i w:val="0"/>
          <w:iCs w:val="0"/>
          <w:color w:val="auto"/>
          <w:sz w:val="24"/>
          <w:szCs w:val="24"/>
          <w:highlight w:val="none"/>
          <w:vertAlign w:val="baseline"/>
          <w:lang w:val="en-US" w:eastAsia="zh-CN" w:bidi="ar-SA"/>
        </w:rPr>
        <w:t>（三）</w:t>
      </w:r>
      <w:r>
        <w:rPr>
          <w:rFonts w:hint="default" w:ascii="宋体" w:hAnsi="宋体" w:eastAsia="宋体" w:cs="宋体"/>
          <w:b/>
          <w:bCs/>
          <w:i w:val="0"/>
          <w:iCs w:val="0"/>
          <w:color w:val="auto"/>
          <w:sz w:val="24"/>
          <w:szCs w:val="24"/>
          <w:highlight w:val="none"/>
          <w:vertAlign w:val="baseline"/>
          <w:lang w:val="en-US" w:eastAsia="zh-CN" w:bidi="ar-SA"/>
        </w:rPr>
        <w:t>、项目服务方案及其他</w:t>
      </w:r>
    </w:p>
    <w:p w14:paraId="34EF964B">
      <w:pPr>
        <w:spacing w:line="494" w:lineRule="exact"/>
        <w:ind w:firstLine="480"/>
        <w:jc w:val="both"/>
      </w:pPr>
      <w:r>
        <w:rPr>
          <w:rFonts w:hint="default" w:ascii="宋体" w:hAnsi="宋体" w:eastAsia="宋体" w:cs="宋体"/>
          <w:b/>
          <w:bCs/>
          <w:i w:val="0"/>
          <w:iCs w:val="0"/>
          <w:color w:val="auto"/>
          <w:sz w:val="24"/>
          <w:szCs w:val="24"/>
          <w:highlight w:val="none"/>
          <w:vertAlign w:val="baseline"/>
          <w:lang w:val="en-US" w:eastAsia="zh-CN" w:bidi="ar-SA"/>
        </w:rPr>
        <w:t>1、流程管理方案</w:t>
      </w:r>
    </w:p>
    <w:p w14:paraId="8344BA38">
      <w:pPr>
        <w:spacing w:line="494"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投标人应提供</w:t>
      </w:r>
      <w:r>
        <w:rPr>
          <w:rFonts w:hint="default" w:ascii="宋体" w:hAnsi="宋体" w:eastAsia="宋体" w:cs="宋体"/>
          <w:b w:val="0"/>
          <w:bCs w:val="0"/>
          <w:i w:val="0"/>
          <w:iCs w:val="0"/>
          <w:color w:val="auto"/>
          <w:sz w:val="24"/>
          <w:szCs w:val="24"/>
          <w:highlight w:val="none"/>
          <w:vertAlign w:val="baseline"/>
          <w:lang w:val="en-US" w:eastAsia="zh-CN" w:bidi="ar-SA"/>
        </w:rPr>
        <w:t>针对</w:t>
      </w:r>
      <w:r>
        <w:rPr>
          <w:rFonts w:hint="default" w:ascii="宋体" w:hAnsi="宋体" w:eastAsia="Arial" w:cs="宋体"/>
          <w:b w:val="0"/>
          <w:bCs w:val="0"/>
          <w:i w:val="0"/>
          <w:iCs w:val="0"/>
          <w:color w:val="auto"/>
          <w:sz w:val="24"/>
          <w:szCs w:val="24"/>
          <w:highlight w:val="none"/>
          <w:vertAlign w:val="baseline"/>
          <w:lang w:val="en-US" w:eastAsia="zh-CN" w:bidi="ar-SA"/>
        </w:rPr>
        <w:t>本项目</w:t>
      </w:r>
      <w:r>
        <w:rPr>
          <w:rFonts w:hint="default" w:ascii="宋体" w:hAnsi="宋体" w:eastAsia="宋体" w:cs="宋体"/>
          <w:b w:val="0"/>
          <w:bCs w:val="0"/>
          <w:i w:val="0"/>
          <w:iCs w:val="0"/>
          <w:color w:val="auto"/>
          <w:sz w:val="24"/>
          <w:szCs w:val="24"/>
          <w:highlight w:val="none"/>
          <w:vertAlign w:val="baseline"/>
          <w:lang w:val="en-US" w:eastAsia="zh-CN" w:bidi="ar-SA"/>
        </w:rPr>
        <w:t>的</w:t>
      </w:r>
      <w:r>
        <w:rPr>
          <w:rFonts w:hint="default" w:ascii="宋体" w:hAnsi="宋体" w:eastAsia="Arial" w:cs="宋体"/>
          <w:b w:val="0"/>
          <w:bCs w:val="0"/>
          <w:i w:val="0"/>
          <w:iCs w:val="0"/>
          <w:color w:val="auto"/>
          <w:sz w:val="24"/>
          <w:szCs w:val="24"/>
          <w:highlight w:val="none"/>
          <w:vertAlign w:val="baseline"/>
          <w:lang w:val="en-US" w:eastAsia="zh-CN" w:bidi="ar-SA"/>
        </w:rPr>
        <w:t>流程管理方案</w:t>
      </w:r>
      <w:r>
        <w:rPr>
          <w:rFonts w:hint="default" w:ascii="宋体" w:hAnsi="宋体" w:eastAsia="宋体" w:cs="宋体"/>
          <w:b w:val="0"/>
          <w:bCs w:val="0"/>
          <w:i w:val="0"/>
          <w:iCs w:val="0"/>
          <w:color w:val="auto"/>
          <w:sz w:val="24"/>
          <w:szCs w:val="24"/>
          <w:highlight w:val="none"/>
          <w:vertAlign w:val="baseline"/>
          <w:lang w:val="en-US" w:eastAsia="zh-CN" w:bidi="ar-SA"/>
        </w:rPr>
        <w:t>，方案</w:t>
      </w:r>
      <w:r>
        <w:rPr>
          <w:rFonts w:hint="default" w:ascii="宋体" w:hAnsi="宋体" w:eastAsia="Arial" w:cs="宋体"/>
          <w:b w:val="0"/>
          <w:bCs w:val="0"/>
          <w:i w:val="0"/>
          <w:iCs w:val="0"/>
          <w:color w:val="auto"/>
          <w:sz w:val="24"/>
          <w:szCs w:val="24"/>
          <w:highlight w:val="none"/>
          <w:vertAlign w:val="baseline"/>
          <w:lang w:val="en-US" w:eastAsia="zh-CN" w:bidi="ar-SA"/>
        </w:rPr>
        <w:t>包含但不限于</w:t>
      </w:r>
      <w:r>
        <w:rPr>
          <w:rFonts w:hint="default" w:ascii="宋体" w:hAnsi="宋体" w:eastAsia="宋体" w:cs="宋体"/>
          <w:b w:val="0"/>
          <w:bCs w:val="0"/>
          <w:i w:val="0"/>
          <w:iCs w:val="0"/>
          <w:color w:val="auto"/>
          <w:sz w:val="24"/>
          <w:szCs w:val="24"/>
          <w:highlight w:val="none"/>
          <w:vertAlign w:val="baseline"/>
          <w:lang w:val="en-US" w:eastAsia="zh-CN" w:bidi="ar-SA"/>
        </w:rPr>
        <w:t>：</w:t>
      </w:r>
      <w:r>
        <w:rPr>
          <w:rFonts w:hint="default" w:ascii="宋体" w:hAnsi="宋体" w:eastAsia="Arial" w:cs="宋体"/>
          <w:b w:val="0"/>
          <w:bCs w:val="0"/>
          <w:i w:val="0"/>
          <w:iCs w:val="0"/>
          <w:color w:val="auto"/>
          <w:sz w:val="24"/>
          <w:szCs w:val="24"/>
          <w:highlight w:val="none"/>
          <w:vertAlign w:val="baseline"/>
          <w:lang w:val="en-US" w:eastAsia="zh-CN" w:bidi="ar-SA"/>
        </w:rPr>
        <w:t>①人员和技术保障管理、②订购或现场采购、③送货上门及拆包验收服务、④图书分类编目、⑤图书审校服务、⑥分配馆藏地点、⑦物理加工服务等流程步骤的具体方案</w:t>
      </w:r>
      <w:r>
        <w:rPr>
          <w:rFonts w:hint="default" w:ascii="宋体" w:hAnsi="宋体" w:eastAsia="宋体" w:cs="宋体"/>
          <w:b w:val="0"/>
          <w:bCs w:val="0"/>
          <w:i w:val="0"/>
          <w:iCs w:val="0"/>
          <w:color w:val="auto"/>
          <w:sz w:val="24"/>
          <w:szCs w:val="24"/>
          <w:highlight w:val="none"/>
          <w:vertAlign w:val="baseline"/>
          <w:lang w:val="en-US" w:eastAsia="zh-CN" w:bidi="ar-SA"/>
        </w:rPr>
        <w:t>。</w:t>
      </w:r>
    </w:p>
    <w:p w14:paraId="F57592B4">
      <w:pPr>
        <w:spacing w:line="494" w:lineRule="exact"/>
        <w:ind w:firstLine="480"/>
        <w:jc w:val="both"/>
      </w:pPr>
      <w:r>
        <w:rPr>
          <w:rFonts w:hint="default" w:ascii="宋体" w:hAnsi="宋体" w:eastAsia="宋体" w:cs="宋体"/>
          <w:b/>
          <w:bCs/>
          <w:i w:val="0"/>
          <w:iCs w:val="0"/>
          <w:color w:val="auto"/>
          <w:sz w:val="24"/>
          <w:szCs w:val="24"/>
          <w:highlight w:val="none"/>
          <w:vertAlign w:val="baseline"/>
          <w:lang w:val="en-US" w:eastAsia="zh-CN" w:bidi="ar-SA"/>
        </w:rPr>
        <w:t>2、质量保障及售后服务方案</w:t>
      </w:r>
    </w:p>
    <w:p w14:paraId="5F670BA7">
      <w:pPr>
        <w:spacing w:line="494"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投标人应提供针对本项目</w:t>
      </w:r>
      <w:r>
        <w:rPr>
          <w:rFonts w:hint="default" w:ascii="宋体" w:hAnsi="宋体" w:eastAsia="宋体" w:cs="宋体"/>
          <w:b w:val="0"/>
          <w:bCs w:val="0"/>
          <w:i w:val="0"/>
          <w:iCs w:val="0"/>
          <w:color w:val="auto"/>
          <w:sz w:val="24"/>
          <w:szCs w:val="24"/>
          <w:highlight w:val="none"/>
          <w:vertAlign w:val="baseline"/>
          <w:lang w:val="en-US" w:eastAsia="zh-CN" w:bidi="ar-SA"/>
        </w:rPr>
        <w:t>的</w:t>
      </w:r>
      <w:r>
        <w:rPr>
          <w:rFonts w:hint="default" w:ascii="宋体" w:hAnsi="宋体" w:eastAsia="Arial" w:cs="宋体"/>
          <w:b w:val="0"/>
          <w:bCs w:val="0"/>
          <w:i w:val="0"/>
          <w:iCs w:val="0"/>
          <w:color w:val="auto"/>
          <w:sz w:val="24"/>
          <w:szCs w:val="24"/>
          <w:highlight w:val="none"/>
          <w:vertAlign w:val="baseline"/>
          <w:lang w:val="en-US" w:eastAsia="zh-CN" w:bidi="ar-SA"/>
        </w:rPr>
        <w:t>质量保障及售后服务方案，</w:t>
      </w:r>
      <w:r>
        <w:rPr>
          <w:rFonts w:hint="default" w:ascii="宋体" w:hAnsi="宋体" w:eastAsia="宋体" w:cs="宋体"/>
          <w:b w:val="0"/>
          <w:bCs w:val="0"/>
          <w:i w:val="0"/>
          <w:iCs w:val="0"/>
          <w:color w:val="auto"/>
          <w:sz w:val="24"/>
          <w:szCs w:val="24"/>
          <w:highlight w:val="none"/>
          <w:vertAlign w:val="baseline"/>
          <w:lang w:val="en-US" w:eastAsia="zh-CN" w:bidi="ar-SA"/>
        </w:rPr>
        <w:t>方案</w:t>
      </w:r>
      <w:r>
        <w:rPr>
          <w:rFonts w:hint="default" w:ascii="宋体" w:hAnsi="宋体" w:eastAsia="Arial" w:cs="宋体"/>
          <w:b w:val="0"/>
          <w:bCs w:val="0"/>
          <w:i w:val="0"/>
          <w:iCs w:val="0"/>
          <w:color w:val="auto"/>
          <w:sz w:val="24"/>
          <w:szCs w:val="24"/>
          <w:highlight w:val="none"/>
          <w:vertAlign w:val="baseline"/>
          <w:lang w:val="en-US" w:eastAsia="zh-CN" w:bidi="ar-SA"/>
        </w:rPr>
        <w:t>包含但不限于</w:t>
      </w:r>
      <w:r>
        <w:rPr>
          <w:rFonts w:hint="default" w:ascii="宋体" w:hAnsi="宋体" w:eastAsia="宋体" w:cs="宋体"/>
          <w:b w:val="0"/>
          <w:bCs w:val="0"/>
          <w:i w:val="0"/>
          <w:iCs w:val="0"/>
          <w:color w:val="auto"/>
          <w:sz w:val="24"/>
          <w:szCs w:val="24"/>
          <w:highlight w:val="none"/>
          <w:vertAlign w:val="baseline"/>
          <w:lang w:val="en-US" w:eastAsia="zh-CN" w:bidi="ar-SA"/>
        </w:rPr>
        <w:t>：</w:t>
      </w:r>
      <w:r>
        <w:rPr>
          <w:rFonts w:hint="default" w:ascii="宋体" w:hAnsi="宋体" w:eastAsia="Arial" w:cs="宋体"/>
          <w:b w:val="0"/>
          <w:bCs w:val="0"/>
          <w:i w:val="0"/>
          <w:iCs w:val="0"/>
          <w:color w:val="auto"/>
          <w:sz w:val="24"/>
          <w:szCs w:val="24"/>
          <w:highlight w:val="none"/>
          <w:vertAlign w:val="baseline"/>
          <w:lang w:val="en-US" w:eastAsia="zh-CN" w:bidi="ar-SA"/>
        </w:rPr>
        <w:t>①正版保证、②内容质量、③印刷质量、④装帧质量、⑤质量追溯与召回、⑥退换货服务、⑦应急人员储备等内容方案</w:t>
      </w:r>
      <w:r>
        <w:rPr>
          <w:rFonts w:hint="default" w:ascii="宋体" w:hAnsi="宋体" w:eastAsia="宋体" w:cs="宋体"/>
          <w:b w:val="0"/>
          <w:bCs w:val="0"/>
          <w:i w:val="0"/>
          <w:iCs w:val="0"/>
          <w:color w:val="auto"/>
          <w:sz w:val="24"/>
          <w:szCs w:val="24"/>
          <w:highlight w:val="none"/>
          <w:vertAlign w:val="baseline"/>
          <w:lang w:val="en-US" w:eastAsia="zh-CN" w:bidi="ar-SA"/>
        </w:rPr>
        <w:t>。</w:t>
      </w:r>
    </w:p>
    <w:p w14:paraId="F17F711E">
      <w:pPr>
        <w:spacing w:line="494" w:lineRule="exact"/>
        <w:ind w:firstLine="480"/>
        <w:jc w:val="both"/>
      </w:pPr>
      <w:r>
        <w:rPr>
          <w:rFonts w:hint="default" w:ascii="宋体" w:hAnsi="宋体" w:eastAsia="宋体" w:cs="宋体"/>
          <w:b/>
          <w:bCs/>
          <w:i w:val="0"/>
          <w:iCs w:val="0"/>
          <w:color w:val="auto"/>
          <w:sz w:val="24"/>
          <w:szCs w:val="24"/>
          <w:highlight w:val="none"/>
          <w:vertAlign w:val="baseline"/>
          <w:lang w:val="en-US" w:eastAsia="zh-CN" w:bidi="ar-SA"/>
        </w:rPr>
        <w:t>3、增值服务方案</w:t>
      </w:r>
    </w:p>
    <w:p w14:paraId="605E8FDF">
      <w:pPr>
        <w:spacing w:line="494"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投标人应提供针对本项目的增值服务方案，方案包含但不限于：①图书馆馆藏建设</w:t>
      </w:r>
      <w:r>
        <w:rPr>
          <w:rFonts w:hint="eastAsia" w:ascii="宋体" w:hAnsi="宋体" w:eastAsia="Arial" w:cs="宋体"/>
          <w:b w:val="0"/>
          <w:bCs w:val="0"/>
          <w:i w:val="0"/>
          <w:iCs w:val="0"/>
          <w:color w:val="auto"/>
          <w:sz w:val="24"/>
          <w:szCs w:val="24"/>
          <w:highlight w:val="none"/>
          <w:vertAlign w:val="baseline"/>
          <w:lang w:val="en-US" w:eastAsia="zh-CN" w:bidi="ar-SA"/>
        </w:rPr>
        <w:t>、</w:t>
      </w:r>
      <w:r>
        <w:rPr>
          <w:rFonts w:hint="default" w:ascii="宋体" w:hAnsi="宋体" w:eastAsia="Arial" w:cs="宋体"/>
          <w:b w:val="0"/>
          <w:bCs w:val="0"/>
          <w:i w:val="0"/>
          <w:iCs w:val="0"/>
          <w:color w:val="auto"/>
          <w:sz w:val="24"/>
          <w:szCs w:val="24"/>
          <w:highlight w:val="none"/>
          <w:vertAlign w:val="baseline"/>
          <w:lang w:val="en-US" w:eastAsia="zh-CN" w:bidi="ar-SA"/>
        </w:rPr>
        <w:t>②读者协助服务、③培训与讲座服务、④急需用书即时送货、⑤库存管理与补书服务、⑥定制化推荐服务、⑦数据更新与维护等内容方案。</w:t>
      </w:r>
    </w:p>
    <w:p w14:paraId="3CF68E7B">
      <w:pPr>
        <w:widowControl/>
        <w:spacing w:line="494" w:lineRule="exact"/>
        <w:ind w:firstLine="480"/>
        <w:jc w:val="both"/>
      </w:pPr>
      <w:r>
        <w:rPr>
          <w:rFonts w:hint="default" w:ascii="宋体" w:hAnsi="宋体" w:eastAsia="Arial" w:cs="宋体"/>
          <w:b/>
          <w:bCs/>
          <w:i w:val="0"/>
          <w:iCs w:val="0"/>
          <w:color w:val="auto"/>
          <w:sz w:val="24"/>
          <w:szCs w:val="24"/>
          <w:highlight w:val="none"/>
          <w:vertAlign w:val="baseline"/>
          <w:lang w:val="en-US" w:eastAsia="zh-CN" w:bidi="ar-SA"/>
        </w:rPr>
        <w:t>4、体系认证</w:t>
      </w:r>
    </w:p>
    <w:p w14:paraId="FBADE94F">
      <w:pPr>
        <w:widowControl/>
        <w:spacing w:line="494"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投标人需具备各种良好的管理体系，规范日常管理与服务流程，确保服务质量稳定,积极保障员工健康，提升工作环境以及防范信息泄露等，整合管理流程，减少重复工作，提高资源利用效率，以保障本项目的顺利实施，具有</w:t>
      </w:r>
      <w:r>
        <w:rPr>
          <w:rFonts w:hint="default" w:ascii="宋体" w:hAnsi="宋体" w:eastAsia="宋体" w:cs="宋体"/>
          <w:b w:val="0"/>
          <w:bCs w:val="0"/>
          <w:i w:val="0"/>
          <w:iCs w:val="0"/>
          <w:color w:val="auto"/>
          <w:sz w:val="24"/>
          <w:szCs w:val="24"/>
          <w:highlight w:val="none"/>
          <w:vertAlign w:val="baseline"/>
          <w:lang w:val="en-US" w:eastAsia="zh-CN" w:bidi="ar-SA"/>
        </w:rPr>
        <w:t>开标当天在有效期内</w:t>
      </w:r>
      <w:r>
        <w:rPr>
          <w:rFonts w:hint="default" w:ascii="宋体" w:hAnsi="宋体" w:eastAsia="Arial" w:cs="宋体"/>
          <w:b w:val="0"/>
          <w:bCs w:val="0"/>
          <w:i w:val="0"/>
          <w:iCs w:val="0"/>
          <w:color w:val="auto"/>
          <w:sz w:val="24"/>
          <w:szCs w:val="24"/>
          <w:highlight w:val="none"/>
          <w:vertAlign w:val="baseline"/>
          <w:lang w:val="en-US" w:eastAsia="zh-CN" w:bidi="ar-SA"/>
        </w:rPr>
        <w:t>的质量管理体系认证证书、环境管理体系认证证书、职业健康安全管理体系认证证书的</w:t>
      </w:r>
      <w:r>
        <w:rPr>
          <w:rFonts w:hint="default" w:ascii="宋体" w:hAnsi="宋体" w:eastAsia="Arial" w:cs="宋体"/>
          <w:b/>
          <w:bCs/>
          <w:i w:val="0"/>
          <w:iCs w:val="0"/>
          <w:color w:val="auto"/>
          <w:sz w:val="24"/>
          <w:szCs w:val="24"/>
          <w:highlight w:val="none"/>
          <w:vertAlign w:val="baseline"/>
          <w:lang w:val="en-US" w:eastAsia="zh-CN" w:bidi="ar-SA"/>
        </w:rPr>
        <w:t>优先</w:t>
      </w:r>
      <w:r>
        <w:rPr>
          <w:rFonts w:hint="default" w:ascii="宋体" w:hAnsi="宋体" w:eastAsia="Arial" w:cs="宋体"/>
          <w:b w:val="0"/>
          <w:bCs w:val="0"/>
          <w:i w:val="0"/>
          <w:iCs w:val="0"/>
          <w:color w:val="auto"/>
          <w:sz w:val="24"/>
          <w:szCs w:val="24"/>
          <w:highlight w:val="none"/>
          <w:vertAlign w:val="baseline"/>
          <w:lang w:val="en-US" w:eastAsia="zh-CN" w:bidi="ar-SA"/>
        </w:rPr>
        <w:t>。</w:t>
      </w:r>
    </w:p>
    <w:p w14:paraId="FEE61C4C">
      <w:pPr>
        <w:widowControl/>
        <w:spacing w:line="494" w:lineRule="exact"/>
        <w:ind w:firstLine="480"/>
        <w:jc w:val="both"/>
      </w:pPr>
      <w:r>
        <w:rPr>
          <w:rFonts w:hint="default" w:ascii="宋体" w:hAnsi="宋体" w:eastAsia="Arial" w:cs="宋体"/>
          <w:b/>
          <w:bCs/>
          <w:i w:val="0"/>
          <w:iCs w:val="0"/>
          <w:color w:val="auto"/>
          <w:sz w:val="24"/>
          <w:szCs w:val="24"/>
          <w:highlight w:val="none"/>
          <w:vertAlign w:val="baseline"/>
          <w:lang w:val="en-US" w:eastAsia="zh-CN" w:bidi="ar-SA"/>
        </w:rPr>
        <w:t>5、业绩</w:t>
      </w:r>
    </w:p>
    <w:p w14:paraId="D03EC90F">
      <w:pPr>
        <w:spacing w:line="494"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投标人需要具备丰富的图书采购相关承接经验，确保本项目的顺利实施，投标人提供自2022年1月1日以来（以合同签订时间为准）</w:t>
      </w:r>
      <w:r>
        <w:rPr>
          <w:rFonts w:hint="eastAsia" w:ascii="宋体" w:hAnsi="宋体" w:eastAsia="Arial" w:cs="宋体"/>
          <w:b/>
          <w:bCs/>
          <w:i w:val="0"/>
          <w:iCs w:val="0"/>
          <w:color w:val="auto"/>
          <w:sz w:val="24"/>
          <w:szCs w:val="24"/>
          <w:highlight w:val="none"/>
          <w:vertAlign w:val="baseline"/>
          <w:lang w:val="en-US" w:eastAsia="zh-CN" w:bidi="ar-SA"/>
        </w:rPr>
        <w:t>学校</w:t>
      </w:r>
      <w:r>
        <w:rPr>
          <w:rFonts w:hint="default" w:ascii="宋体" w:hAnsi="宋体" w:eastAsia="Arial" w:cs="宋体"/>
          <w:b w:val="0"/>
          <w:bCs w:val="0"/>
          <w:i w:val="0"/>
          <w:iCs w:val="0"/>
          <w:color w:val="auto"/>
          <w:sz w:val="24"/>
          <w:szCs w:val="24"/>
          <w:highlight w:val="none"/>
          <w:vertAlign w:val="baseline"/>
          <w:lang w:val="en-US" w:eastAsia="zh-CN" w:bidi="ar-SA"/>
        </w:rPr>
        <w:t>图书馆图书采购类似项目业绩的</w:t>
      </w:r>
      <w:r>
        <w:rPr>
          <w:rFonts w:hint="default" w:ascii="宋体" w:hAnsi="宋体" w:eastAsia="Arial" w:cs="宋体"/>
          <w:b/>
          <w:bCs/>
          <w:i w:val="0"/>
          <w:iCs w:val="0"/>
          <w:color w:val="auto"/>
          <w:sz w:val="24"/>
          <w:szCs w:val="24"/>
          <w:highlight w:val="none"/>
          <w:vertAlign w:val="baseline"/>
          <w:lang w:val="en-US" w:eastAsia="zh-CN" w:bidi="ar-SA"/>
        </w:rPr>
        <w:t>优先</w:t>
      </w:r>
      <w:r>
        <w:rPr>
          <w:rFonts w:hint="default" w:ascii="宋体" w:hAnsi="宋体" w:eastAsia="Arial" w:cs="宋体"/>
          <w:b w:val="0"/>
          <w:bCs w:val="0"/>
          <w:i w:val="0"/>
          <w:iCs w:val="0"/>
          <w:color w:val="auto"/>
          <w:sz w:val="24"/>
          <w:szCs w:val="24"/>
          <w:highlight w:val="none"/>
          <w:vertAlign w:val="baseline"/>
          <w:lang w:val="en-US" w:eastAsia="zh-CN" w:bidi="ar-SA"/>
        </w:rPr>
        <w:t>。</w:t>
      </w:r>
    </w:p>
    <w:p w14:paraId="7042C6CB">
      <w:pPr>
        <w:widowControl/>
        <w:spacing w:line="494" w:lineRule="exact"/>
        <w:ind w:firstLine="480"/>
        <w:jc w:val="both"/>
      </w:pPr>
      <w:r>
        <w:rPr>
          <w:rFonts w:hint="default" w:ascii="宋体" w:hAnsi="宋体" w:eastAsia="Arial" w:cs="宋体"/>
          <w:b/>
          <w:bCs/>
          <w:i w:val="0"/>
          <w:iCs w:val="0"/>
          <w:color w:val="auto"/>
          <w:sz w:val="24"/>
          <w:szCs w:val="24"/>
          <w:highlight w:val="none"/>
          <w:vertAlign w:val="baseline"/>
          <w:lang w:val="en-US" w:eastAsia="zh-CN" w:bidi="ar-SA"/>
        </w:rPr>
        <w:t>6、出版社委托代理权</w:t>
      </w:r>
    </w:p>
    <w:p w14:paraId="4F8DC8F0">
      <w:pPr>
        <w:widowControl/>
        <w:spacing w:line="494" w:lineRule="exact"/>
        <w:ind w:firstLine="480"/>
        <w:jc w:val="both"/>
      </w:pPr>
      <w:r>
        <w:rPr>
          <w:rFonts w:hint="default" w:ascii="宋体" w:hAnsi="宋体" w:eastAsia="Arial" w:cs="Arial"/>
          <w:b w:val="0"/>
          <w:bCs w:val="0"/>
          <w:i w:val="0"/>
          <w:iCs w:val="0"/>
          <w:color w:val="auto"/>
          <w:sz w:val="24"/>
          <w:szCs w:val="24"/>
          <w:highlight w:val="none"/>
          <w:vertAlign w:val="baseline"/>
          <w:lang w:val="en-US" w:eastAsia="zh-CN" w:bidi="ar-SA"/>
        </w:rPr>
        <w:t>本项目为</w:t>
      </w:r>
      <w:r>
        <w:rPr>
          <w:rFonts w:hint="eastAsia" w:ascii="宋体" w:hAnsi="宋体" w:eastAsia="Arial" w:cs="Arial"/>
          <w:b w:val="0"/>
          <w:bCs w:val="0"/>
          <w:i w:val="0"/>
          <w:iCs w:val="0"/>
          <w:color w:val="auto"/>
          <w:sz w:val="24"/>
          <w:szCs w:val="24"/>
          <w:highlight w:val="none"/>
          <w:vertAlign w:val="baseline"/>
          <w:lang w:val="en-US" w:eastAsia="zh-CN" w:bidi="ar-SA"/>
        </w:rPr>
        <w:t>盐城技师学院智慧图书馆建设项目</w:t>
      </w:r>
      <w:r>
        <w:rPr>
          <w:rFonts w:hint="default" w:ascii="宋体" w:hAnsi="宋体" w:eastAsia="Arial" w:cs="Arial"/>
          <w:b w:val="0"/>
          <w:bCs w:val="0"/>
          <w:i w:val="0"/>
          <w:iCs w:val="0"/>
          <w:color w:val="auto"/>
          <w:sz w:val="24"/>
          <w:szCs w:val="24"/>
          <w:highlight w:val="none"/>
          <w:vertAlign w:val="baseline"/>
          <w:lang w:val="en-US" w:eastAsia="zh-CN" w:bidi="ar-SA"/>
        </w:rPr>
        <w:t>，本馆所采购的图书质量标准要求高、数量多、品种繁杂，为确保采购图书的内容质量、编校质量和印刷质量符合国家标准，有效降低劣质出版物采购风险，所以供应商具有出版社委托代理的</w:t>
      </w:r>
      <w:r>
        <w:rPr>
          <w:rFonts w:hint="default" w:ascii="宋体" w:hAnsi="宋体" w:eastAsia="Arial" w:cs="Arial"/>
          <w:b/>
          <w:bCs/>
          <w:i w:val="0"/>
          <w:iCs w:val="0"/>
          <w:color w:val="auto"/>
          <w:sz w:val="24"/>
          <w:szCs w:val="24"/>
          <w:highlight w:val="none"/>
          <w:vertAlign w:val="baseline"/>
          <w:lang w:val="en-US" w:eastAsia="zh-CN" w:bidi="ar-SA"/>
        </w:rPr>
        <w:t>优先</w:t>
      </w:r>
      <w:r>
        <w:rPr>
          <w:rFonts w:hint="default" w:ascii="宋体" w:hAnsi="宋体" w:eastAsia="宋体" w:cs="Arial"/>
          <w:b w:val="0"/>
          <w:bCs w:val="0"/>
          <w:i w:val="0"/>
          <w:iCs w:val="0"/>
          <w:color w:val="auto"/>
          <w:sz w:val="24"/>
          <w:szCs w:val="24"/>
          <w:highlight w:val="none"/>
          <w:vertAlign w:val="baseline"/>
          <w:lang w:val="en-US" w:eastAsia="zh-CN" w:bidi="ar-SA"/>
        </w:rPr>
        <w:t>。</w:t>
      </w:r>
    </w:p>
    <w:p w14:paraId="48275688">
      <w:pPr>
        <w:widowControl/>
        <w:spacing w:line="494" w:lineRule="exact"/>
        <w:ind w:firstLine="480"/>
        <w:jc w:val="both"/>
      </w:pPr>
      <w:r>
        <w:rPr>
          <w:rFonts w:hint="default" w:ascii="宋体" w:hAnsi="宋体" w:eastAsia="Arial" w:cs="宋体"/>
          <w:b/>
          <w:bCs/>
          <w:i w:val="0"/>
          <w:iCs w:val="0"/>
          <w:color w:val="auto"/>
          <w:sz w:val="24"/>
          <w:szCs w:val="24"/>
          <w:highlight w:val="none"/>
          <w:vertAlign w:val="baseline"/>
          <w:lang w:val="en-US" w:eastAsia="zh-CN" w:bidi="ar-SA"/>
        </w:rPr>
        <w:t>7、现采的大型书店、批销中心，到货率证明</w:t>
      </w:r>
    </w:p>
    <w:p w14:paraId="5CE6FC5C">
      <w:pPr>
        <w:widowControl/>
        <w:spacing w:line="494" w:lineRule="exact"/>
        <w:ind w:firstLine="480"/>
        <w:jc w:val="both"/>
      </w:pPr>
      <w:r>
        <w:rPr>
          <w:rFonts w:hint="eastAsia" w:ascii="宋体" w:hAnsi="宋体" w:eastAsia="Arial" w:cs="Arial"/>
          <w:b w:val="0"/>
          <w:bCs w:val="0"/>
          <w:i w:val="0"/>
          <w:iCs w:val="0"/>
          <w:color w:val="auto"/>
          <w:sz w:val="24"/>
          <w:szCs w:val="24"/>
          <w:highlight w:val="none"/>
          <w:vertAlign w:val="baseline"/>
          <w:lang w:val="en-US" w:eastAsia="zh-CN" w:bidi="ar-SA"/>
        </w:rPr>
        <w:t>盐城技师学院智慧图书馆建设项目</w:t>
      </w:r>
      <w:r>
        <w:rPr>
          <w:rFonts w:hint="default" w:ascii="宋体" w:hAnsi="宋体" w:eastAsia="Arial" w:cs="Arial"/>
          <w:b w:val="0"/>
          <w:bCs w:val="0"/>
          <w:i w:val="0"/>
          <w:iCs w:val="0"/>
          <w:color w:val="auto"/>
          <w:sz w:val="24"/>
          <w:szCs w:val="24"/>
          <w:highlight w:val="none"/>
          <w:vertAlign w:val="baseline"/>
          <w:lang w:val="en-US" w:eastAsia="zh-CN" w:bidi="ar-SA"/>
        </w:rPr>
        <w:t>所采购的图书数量多、品种繁杂，为确保</w:t>
      </w:r>
      <w:r>
        <w:rPr>
          <w:rFonts w:hint="default" w:ascii="宋体" w:hAnsi="宋体" w:eastAsia="宋体" w:cs="宋体"/>
          <w:b w:val="0"/>
          <w:bCs w:val="0"/>
          <w:i w:val="0"/>
          <w:iCs w:val="0"/>
          <w:color w:val="auto"/>
          <w:sz w:val="24"/>
          <w:szCs w:val="24"/>
          <w:highlight w:val="none"/>
          <w:vertAlign w:val="baseline"/>
          <w:lang w:val="en-US" w:eastAsia="zh-CN" w:bidi="ar-SA"/>
        </w:rPr>
        <w:t>供应商可以按采购人订购的图书品种、数量及时供货</w:t>
      </w:r>
      <w:r>
        <w:rPr>
          <w:rFonts w:hint="default" w:ascii="宋体" w:hAnsi="宋体" w:eastAsia="Arial" w:cs="Arial"/>
          <w:b w:val="0"/>
          <w:bCs w:val="0"/>
          <w:i w:val="0"/>
          <w:iCs w:val="0"/>
          <w:color w:val="auto"/>
          <w:sz w:val="24"/>
          <w:szCs w:val="24"/>
          <w:highlight w:val="none"/>
          <w:vertAlign w:val="baseline"/>
          <w:lang w:val="en-US" w:eastAsia="zh-CN" w:bidi="ar-SA"/>
        </w:rPr>
        <w:t>，确保图书的到货率高，同时也方便供应商提供售后服务，所以供应商具有本公司或所属母公司产权、租赁的能够进行现采的大型书店、批销中心的</w:t>
      </w:r>
      <w:r>
        <w:rPr>
          <w:rFonts w:hint="default" w:ascii="宋体" w:hAnsi="宋体" w:eastAsia="Arial" w:cs="Arial"/>
          <w:b/>
          <w:bCs/>
          <w:i w:val="0"/>
          <w:iCs w:val="0"/>
          <w:color w:val="auto"/>
          <w:sz w:val="24"/>
          <w:szCs w:val="24"/>
          <w:highlight w:val="none"/>
          <w:vertAlign w:val="baseline"/>
          <w:lang w:val="en-US" w:eastAsia="zh-CN" w:bidi="ar-SA"/>
        </w:rPr>
        <w:t>优先</w:t>
      </w:r>
      <w:r>
        <w:rPr>
          <w:rFonts w:hint="default" w:ascii="宋体" w:hAnsi="宋体" w:eastAsia="Arial" w:cs="Arial"/>
          <w:b w:val="0"/>
          <w:bCs w:val="0"/>
          <w:i w:val="0"/>
          <w:iCs w:val="0"/>
          <w:color w:val="auto"/>
          <w:sz w:val="24"/>
          <w:szCs w:val="24"/>
          <w:highlight w:val="none"/>
          <w:vertAlign w:val="baseline"/>
          <w:lang w:val="en-US" w:eastAsia="zh-CN" w:bidi="ar-SA"/>
        </w:rPr>
        <w:t>。供</w:t>
      </w:r>
      <w:bookmarkStart w:id="0" w:name="_GoBack"/>
      <w:bookmarkEnd w:id="0"/>
      <w:r>
        <w:rPr>
          <w:rFonts w:hint="default" w:ascii="宋体" w:hAnsi="宋体" w:eastAsia="Arial" w:cs="Arial"/>
          <w:b w:val="0"/>
          <w:bCs w:val="0"/>
          <w:i w:val="0"/>
          <w:iCs w:val="0"/>
          <w:color w:val="auto"/>
          <w:sz w:val="24"/>
          <w:szCs w:val="24"/>
          <w:highlight w:val="none"/>
          <w:vertAlign w:val="baseline"/>
          <w:lang w:val="en-US" w:eastAsia="zh-CN" w:bidi="ar-SA"/>
        </w:rPr>
        <w:t>应商提供同类项目2022年1月1日以后到货率高于90%证明的</w:t>
      </w:r>
      <w:r>
        <w:rPr>
          <w:rFonts w:hint="default" w:ascii="宋体" w:hAnsi="宋体" w:eastAsia="Arial" w:cs="Arial"/>
          <w:b/>
          <w:bCs/>
          <w:i w:val="0"/>
          <w:iCs w:val="0"/>
          <w:color w:val="auto"/>
          <w:sz w:val="24"/>
          <w:szCs w:val="24"/>
          <w:highlight w:val="none"/>
          <w:vertAlign w:val="baseline"/>
          <w:lang w:val="en-US" w:eastAsia="zh-CN" w:bidi="ar-SA"/>
        </w:rPr>
        <w:t>优先</w:t>
      </w:r>
      <w:r>
        <w:rPr>
          <w:rFonts w:hint="default" w:ascii="宋体" w:hAnsi="宋体" w:eastAsia="Arial" w:cs="Arial"/>
          <w:b w:val="0"/>
          <w:bCs w:val="0"/>
          <w:i w:val="0"/>
          <w:iCs w:val="0"/>
          <w:color w:val="auto"/>
          <w:sz w:val="24"/>
          <w:szCs w:val="24"/>
          <w:highlight w:val="none"/>
          <w:vertAlign w:val="baseline"/>
          <w:lang w:val="en-US" w:eastAsia="zh-CN" w:bidi="ar-SA"/>
        </w:rPr>
        <w:t>。</w:t>
      </w:r>
    </w:p>
    <w:p w14:paraId="51732DEE">
      <w:pPr>
        <w:widowControl/>
        <w:spacing w:line="494" w:lineRule="exact"/>
        <w:ind w:firstLine="480"/>
        <w:jc w:val="both"/>
      </w:pPr>
      <w:r>
        <w:rPr>
          <w:rFonts w:hint="default" w:ascii="宋体" w:hAnsi="宋体" w:eastAsia="Arial" w:cs="宋体"/>
          <w:b/>
          <w:bCs/>
          <w:i w:val="0"/>
          <w:iCs w:val="0"/>
          <w:color w:val="auto"/>
          <w:sz w:val="24"/>
          <w:szCs w:val="24"/>
          <w:highlight w:val="none"/>
          <w:vertAlign w:val="baseline"/>
          <w:lang w:val="en-US" w:eastAsia="zh-CN" w:bidi="ar-SA"/>
        </w:rPr>
        <w:t>8、外采活动承诺</w:t>
      </w:r>
    </w:p>
    <w:p w14:paraId="600F25FD">
      <w:pPr>
        <w:widowControl/>
        <w:spacing w:line="494" w:lineRule="exact"/>
        <w:ind w:firstLine="480"/>
        <w:jc w:val="both"/>
      </w:pPr>
      <w:r>
        <w:rPr>
          <w:rFonts w:hint="default" w:ascii="宋体" w:hAnsi="宋体" w:eastAsia="Arial" w:cs="Arial"/>
          <w:b w:val="0"/>
          <w:bCs w:val="0"/>
          <w:i w:val="0"/>
          <w:iCs w:val="0"/>
          <w:color w:val="auto"/>
          <w:sz w:val="24"/>
          <w:szCs w:val="24"/>
          <w:highlight w:val="none"/>
          <w:vertAlign w:val="baseline"/>
          <w:lang w:val="en-US" w:eastAsia="zh-CN" w:bidi="ar-SA"/>
        </w:rPr>
        <w:t>根据本馆工作需要及图书出版的地域性特点，供应商需要组织采购人参加全国书博会或北京、上海等其它地方图书订货会的外采活动，所以供应商承诺在合同期内最少组织业主单位1-2次（春季、秋季图书采购会）到国家级大型出版社或在省会城市举办的参展出版社在500家以上的全国性书展会现场采购的</w:t>
      </w:r>
      <w:r>
        <w:rPr>
          <w:rFonts w:hint="default" w:ascii="宋体" w:hAnsi="宋体" w:eastAsia="Arial" w:cs="Arial"/>
          <w:b/>
          <w:bCs/>
          <w:i w:val="0"/>
          <w:iCs w:val="0"/>
          <w:color w:val="auto"/>
          <w:sz w:val="24"/>
          <w:szCs w:val="24"/>
          <w:highlight w:val="none"/>
          <w:vertAlign w:val="baseline"/>
          <w:lang w:val="en-US" w:eastAsia="zh-CN" w:bidi="ar-SA"/>
        </w:rPr>
        <w:t>优先。</w:t>
      </w:r>
    </w:p>
    <w:p w14:paraId="C81CB687">
      <w:pPr>
        <w:widowControl/>
        <w:spacing w:line="494" w:lineRule="exact"/>
        <w:ind w:firstLine="480"/>
        <w:jc w:val="both"/>
      </w:pPr>
      <w:r>
        <w:rPr>
          <w:rFonts w:hint="default" w:ascii="宋体" w:hAnsi="宋体" w:eastAsia="Arial" w:cs="宋体"/>
          <w:b/>
          <w:bCs/>
          <w:i w:val="0"/>
          <w:iCs w:val="0"/>
          <w:color w:val="auto"/>
          <w:sz w:val="24"/>
          <w:szCs w:val="24"/>
          <w:highlight w:val="none"/>
          <w:vertAlign w:val="baseline"/>
          <w:lang w:val="en-US" w:eastAsia="zh-CN" w:bidi="ar-SA"/>
        </w:rPr>
        <w:t>9、售后服务团队、编目加工团队、数据下载协议</w:t>
      </w:r>
    </w:p>
    <w:p w14:paraId="B326F7C3">
      <w:pPr>
        <w:spacing w:line="494" w:lineRule="exact"/>
        <w:ind w:firstLine="480"/>
        <w:jc w:val="both"/>
      </w:pPr>
      <w:r>
        <w:rPr>
          <w:rFonts w:hint="default" w:ascii="宋体" w:hAnsi="宋体" w:eastAsia="Arial" w:cs="Arial"/>
          <w:b w:val="0"/>
          <w:bCs w:val="0"/>
          <w:i w:val="0"/>
          <w:iCs w:val="0"/>
          <w:color w:val="auto"/>
          <w:sz w:val="24"/>
          <w:szCs w:val="24"/>
          <w:highlight w:val="none"/>
          <w:vertAlign w:val="baseline"/>
          <w:lang w:val="en-US" w:eastAsia="zh-CN" w:bidi="ar-SA"/>
        </w:rPr>
        <w:t>为了提升采购效率，保障服务质量，供应商能够为本项目配备售后服务团队的</w:t>
      </w:r>
      <w:r>
        <w:rPr>
          <w:rFonts w:hint="default" w:ascii="宋体" w:hAnsi="宋体" w:eastAsia="Arial" w:cs="Arial"/>
          <w:b/>
          <w:bCs/>
          <w:i w:val="0"/>
          <w:iCs w:val="0"/>
          <w:color w:val="auto"/>
          <w:sz w:val="24"/>
          <w:szCs w:val="24"/>
          <w:highlight w:val="none"/>
          <w:vertAlign w:val="baseline"/>
          <w:lang w:val="en-US" w:eastAsia="zh-CN" w:bidi="ar-SA"/>
        </w:rPr>
        <w:t>优先</w:t>
      </w:r>
      <w:r>
        <w:rPr>
          <w:rFonts w:hint="default" w:ascii="宋体" w:hAnsi="宋体" w:eastAsia="Arial" w:cs="Arial"/>
          <w:b w:val="0"/>
          <w:bCs w:val="0"/>
          <w:i w:val="0"/>
          <w:iCs w:val="0"/>
          <w:color w:val="auto"/>
          <w:sz w:val="24"/>
          <w:szCs w:val="24"/>
          <w:highlight w:val="none"/>
          <w:vertAlign w:val="baseline"/>
          <w:lang w:val="en-US" w:eastAsia="zh-CN" w:bidi="ar-SA"/>
        </w:rPr>
        <w:t>。</w:t>
      </w:r>
      <w:r>
        <w:rPr>
          <w:rFonts w:hint="eastAsia" w:ascii="宋体" w:hAnsi="宋体" w:eastAsia="Arial" w:cs="Arial"/>
          <w:b w:val="0"/>
          <w:bCs w:val="0"/>
          <w:i w:val="0"/>
          <w:iCs w:val="0"/>
          <w:color w:val="auto"/>
          <w:sz w:val="24"/>
          <w:szCs w:val="24"/>
          <w:highlight w:val="none"/>
          <w:vertAlign w:val="baseline"/>
          <w:lang w:val="en-US" w:eastAsia="zh-CN" w:bidi="ar-SA"/>
        </w:rPr>
        <w:t>盐城技师学院智慧图书馆建设项目</w:t>
      </w:r>
      <w:r>
        <w:rPr>
          <w:rFonts w:hint="default" w:ascii="宋体" w:hAnsi="宋体" w:eastAsia="Arial" w:cs="Arial"/>
          <w:b w:val="0"/>
          <w:bCs w:val="0"/>
          <w:i w:val="0"/>
          <w:iCs w:val="0"/>
          <w:color w:val="auto"/>
          <w:sz w:val="24"/>
          <w:szCs w:val="24"/>
          <w:highlight w:val="none"/>
          <w:vertAlign w:val="baseline"/>
          <w:lang w:val="en-US" w:eastAsia="zh-CN" w:bidi="ar-SA"/>
        </w:rPr>
        <w:t>需要供应商按照要求对每一册图书进行到馆编目、贴RFID电子芯片（高频）和书标等全加工服务，加工错误率不能超过5‰，任务重，对加工人员要求高，所以供应商具有稳定的编目加工团队，且团队成员具有国图培训编目员上岗证书的</w:t>
      </w:r>
      <w:r>
        <w:rPr>
          <w:rFonts w:hint="default" w:ascii="宋体" w:hAnsi="宋体" w:eastAsia="Arial" w:cs="Arial"/>
          <w:b/>
          <w:bCs/>
          <w:i w:val="0"/>
          <w:iCs w:val="0"/>
          <w:color w:val="auto"/>
          <w:sz w:val="24"/>
          <w:szCs w:val="24"/>
          <w:highlight w:val="none"/>
          <w:vertAlign w:val="baseline"/>
          <w:lang w:val="en-US" w:eastAsia="zh-CN" w:bidi="ar-SA"/>
        </w:rPr>
        <w:t>优先。</w:t>
      </w:r>
      <w:r>
        <w:rPr>
          <w:rFonts w:hint="default" w:ascii="宋体" w:hAnsi="宋体" w:eastAsia="Arial" w:cs="Arial"/>
          <w:b w:val="0"/>
          <w:bCs w:val="0"/>
          <w:i w:val="0"/>
          <w:iCs w:val="0"/>
          <w:color w:val="auto"/>
          <w:sz w:val="24"/>
          <w:szCs w:val="24"/>
          <w:highlight w:val="none"/>
          <w:vertAlign w:val="baseline"/>
          <w:lang w:val="en-US" w:eastAsia="zh-CN" w:bidi="ar-SA"/>
        </w:rPr>
        <w:t>为规范图书信息，快速对接管理系统，确保数据质量与合规性，支持后续服务与扩展需求，所以供应商具有在开标当天处于有效期内的与国家图书馆编目中心签订的数据下载协议的</w:t>
      </w:r>
      <w:r>
        <w:rPr>
          <w:rFonts w:hint="default" w:ascii="宋体" w:hAnsi="宋体" w:eastAsia="Arial" w:cs="Arial"/>
          <w:b/>
          <w:bCs/>
          <w:i w:val="0"/>
          <w:iCs w:val="0"/>
          <w:color w:val="auto"/>
          <w:sz w:val="24"/>
          <w:szCs w:val="24"/>
          <w:highlight w:val="none"/>
          <w:vertAlign w:val="baseline"/>
          <w:lang w:val="en-US" w:eastAsia="zh-CN" w:bidi="ar-SA"/>
        </w:rPr>
        <w:t>优先。</w:t>
      </w:r>
    </w:p>
    <w:p w14:paraId="59FF8BCD">
      <w:pPr>
        <w:spacing w:line="500" w:lineRule="exact"/>
        <w:ind w:firstLine="480"/>
        <w:jc w:val="both"/>
      </w:pPr>
      <w:r>
        <w:rPr>
          <w:rFonts w:ascii="宋体" w:hAnsi="宋体" w:eastAsia="Arial" w:cs="宋体"/>
          <w:b/>
          <w:bCs/>
          <w:i w:val="0"/>
          <w:iCs w:val="0"/>
          <w:color w:val="auto"/>
          <w:sz w:val="24"/>
          <w:szCs w:val="24"/>
          <w:highlight w:val="none"/>
          <w:vertAlign w:val="baseline"/>
          <w:lang w:val="en-US" w:eastAsia="zh-CN" w:bidi="ar-SA"/>
        </w:rPr>
        <w:br w:type="page"/>
      </w:r>
    </w:p>
    <w:p w14:paraId="6FBD8249">
      <w:pPr>
        <w:numPr>
          <w:ilvl w:val="0"/>
          <w:numId w:val="3"/>
        </w:numPr>
        <w:spacing w:line="500" w:lineRule="exact"/>
        <w:jc w:val="both"/>
        <w:rPr>
          <w:rFonts w:hint="eastAsia" w:ascii="宋体" w:hAnsi="宋体" w:eastAsia="宋体" w:cs="宋体"/>
          <w:b/>
          <w:bCs/>
          <w:i w:val="0"/>
          <w:iCs w:val="0"/>
          <w:color w:val="auto"/>
          <w:sz w:val="24"/>
          <w:szCs w:val="24"/>
          <w:highlight w:val="none"/>
          <w:vertAlign w:val="baseline"/>
          <w:lang w:val="en-US" w:eastAsia="zh-CN" w:bidi="ar-SA"/>
        </w:rPr>
      </w:pPr>
      <w:r>
        <w:rPr>
          <w:rFonts w:hint="eastAsia" w:ascii="宋体" w:hAnsi="宋体" w:eastAsia="宋体" w:cs="宋体"/>
          <w:b/>
          <w:bCs/>
          <w:i w:val="0"/>
          <w:iCs w:val="0"/>
          <w:color w:val="auto"/>
          <w:sz w:val="24"/>
          <w:szCs w:val="24"/>
          <w:highlight w:val="none"/>
          <w:vertAlign w:val="baseline"/>
          <w:lang w:val="en-US" w:eastAsia="zh-CN" w:bidi="ar-SA"/>
        </w:rPr>
        <w:t>智慧图书馆系统设备采购</w:t>
      </w:r>
    </w:p>
    <w:p w14:paraId="036FEDA8">
      <w:pPr>
        <w:numPr>
          <w:ilvl w:val="0"/>
          <w:numId w:val="4"/>
        </w:numPr>
        <w:spacing w:line="500" w:lineRule="exact"/>
        <w:jc w:val="both"/>
        <w:rPr>
          <w:rFonts w:hint="default" w:ascii="宋体" w:hAnsi="宋体" w:eastAsia="宋体" w:cs="宋体"/>
          <w:b/>
          <w:bCs/>
          <w:i w:val="0"/>
          <w:iCs w:val="0"/>
          <w:color w:val="auto"/>
          <w:sz w:val="24"/>
          <w:szCs w:val="24"/>
          <w:highlight w:val="none"/>
          <w:vertAlign w:val="baseline"/>
          <w:lang w:val="en-US" w:eastAsia="zh-CN" w:bidi="ar-SA"/>
        </w:rPr>
      </w:pPr>
      <w:r>
        <w:rPr>
          <w:rFonts w:hint="default" w:ascii="宋体" w:hAnsi="宋体" w:eastAsia="宋体" w:cs="宋体"/>
          <w:b/>
          <w:bCs/>
          <w:i w:val="0"/>
          <w:iCs w:val="0"/>
          <w:color w:val="auto"/>
          <w:sz w:val="24"/>
          <w:szCs w:val="24"/>
          <w:highlight w:val="none"/>
          <w:vertAlign w:val="baseline"/>
          <w:lang w:val="en-US" w:eastAsia="zh-CN" w:bidi="ar-SA"/>
        </w:rPr>
        <w:t>货物清单及技术要求</w:t>
      </w:r>
    </w:p>
    <w:p w14:paraId="014F3D85">
      <w:pPr>
        <w:numPr>
          <w:ilvl w:val="0"/>
          <w:numId w:val="0"/>
        </w:numPr>
        <w:spacing w:line="500" w:lineRule="exact"/>
        <w:jc w:val="both"/>
        <w:rPr>
          <w:rFonts w:hint="default" w:ascii="宋体" w:hAnsi="宋体" w:eastAsia="宋体" w:cs="宋体"/>
          <w:b/>
          <w:bCs/>
          <w:i w:val="0"/>
          <w:iCs w:val="0"/>
          <w:color w:val="auto"/>
          <w:sz w:val="24"/>
          <w:szCs w:val="24"/>
          <w:highlight w:val="none"/>
          <w:vertAlign w:val="baseline"/>
          <w:lang w:val="en-US" w:eastAsia="zh-CN" w:bidi="ar-SA"/>
        </w:rPr>
      </w:pPr>
      <w:r>
        <w:rPr>
          <w:rFonts w:hint="eastAsia" w:ascii="宋体" w:hAnsi="宋体" w:eastAsia="宋体" w:cs="宋体"/>
          <w:b/>
          <w:bCs/>
          <w:i w:val="0"/>
          <w:iCs w:val="0"/>
          <w:color w:val="auto"/>
          <w:sz w:val="24"/>
          <w:szCs w:val="24"/>
          <w:highlight w:val="none"/>
          <w:vertAlign w:val="baseline"/>
          <w:lang w:val="en-US" w:eastAsia="zh-CN" w:bidi="ar-SA"/>
        </w:rPr>
        <w:t>1.货物清单</w:t>
      </w:r>
    </w:p>
    <w:p w14:paraId="3BE25A58">
      <w:pPr>
        <w:numPr>
          <w:ilvl w:val="0"/>
          <w:numId w:val="0"/>
        </w:numPr>
        <w:spacing w:line="500" w:lineRule="exact"/>
        <w:jc w:val="center"/>
        <w:rPr>
          <w:rFonts w:hint="eastAsia" w:ascii="华文楷体" w:hAnsi="华文楷体" w:eastAsia="华文楷体" w:cs="华文楷体"/>
          <w:b/>
          <w:bCs/>
          <w:i w:val="0"/>
          <w:iCs w:val="0"/>
          <w:color w:val="auto"/>
          <w:sz w:val="24"/>
          <w:szCs w:val="24"/>
          <w:highlight w:val="none"/>
          <w:vertAlign w:val="baseline"/>
          <w:lang w:val="en-US" w:eastAsia="zh-CN" w:bidi="ar-SA"/>
        </w:rPr>
      </w:pPr>
      <w:r>
        <w:rPr>
          <w:rFonts w:hint="eastAsia" w:ascii="华文楷体" w:hAnsi="华文楷体" w:eastAsia="华文楷体" w:cs="华文楷体"/>
          <w:b/>
          <w:bCs/>
          <w:i w:val="0"/>
          <w:iCs w:val="0"/>
          <w:color w:val="auto"/>
          <w:sz w:val="24"/>
          <w:szCs w:val="24"/>
          <w:highlight w:val="none"/>
          <w:vertAlign w:val="baseline"/>
          <w:lang w:val="en-US" w:eastAsia="zh-CN" w:bidi="ar-SA"/>
        </w:rPr>
        <w:t>表1智慧图书馆建设所需系统、设备清单</w:t>
      </w:r>
    </w:p>
    <w:tbl>
      <w:tblPr>
        <w:tblStyle w:val="12"/>
        <w:tblW w:w="77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4800"/>
        <w:gridCol w:w="2248"/>
      </w:tblGrid>
      <w:tr w14:paraId="70ECE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8" w:type="dxa"/>
            <w:vAlign w:val="center"/>
          </w:tcPr>
          <w:p w14:paraId="4BE557B3">
            <w:pPr>
              <w:jc w:val="center"/>
              <w:rPr>
                <w:rFonts w:hint="default" w:ascii="Times New Roman" w:hAnsi="Times New Roman" w:eastAsia="宋体" w:cs="Times New Roman"/>
                <w:b/>
                <w:bCs/>
                <w:sz w:val="24"/>
                <w:szCs w:val="24"/>
                <w:vertAlign w:val="baseline"/>
                <w:lang w:val="en-US" w:eastAsia="zh-CN"/>
              </w:rPr>
            </w:pPr>
            <w:r>
              <w:rPr>
                <w:rFonts w:hint="default" w:ascii="Times New Roman" w:hAnsi="Times New Roman" w:eastAsia="宋体" w:cs="Times New Roman"/>
                <w:b/>
                <w:bCs/>
                <w:sz w:val="24"/>
                <w:szCs w:val="24"/>
                <w:vertAlign w:val="baseline"/>
                <w:lang w:val="en-US" w:eastAsia="zh-CN"/>
              </w:rPr>
              <w:t>序号</w:t>
            </w:r>
          </w:p>
        </w:tc>
        <w:tc>
          <w:tcPr>
            <w:tcW w:w="4800" w:type="dxa"/>
            <w:vAlign w:val="center"/>
          </w:tcPr>
          <w:p w14:paraId="4DFFDFD5">
            <w:pPr>
              <w:jc w:val="center"/>
              <w:rPr>
                <w:rFonts w:hint="default" w:ascii="Times New Roman" w:hAnsi="Times New Roman" w:eastAsia="宋体" w:cs="Times New Roman"/>
                <w:b/>
                <w:bCs/>
                <w:sz w:val="24"/>
                <w:szCs w:val="24"/>
                <w:vertAlign w:val="baseline"/>
              </w:rPr>
            </w:pPr>
            <w:r>
              <w:rPr>
                <w:rFonts w:hint="default" w:ascii="Times New Roman" w:hAnsi="Times New Roman" w:eastAsia="宋体" w:cs="Times New Roman"/>
                <w:b/>
                <w:bCs/>
                <w:spacing w:val="-8"/>
                <w:sz w:val="24"/>
                <w:szCs w:val="24"/>
              </w:rPr>
              <w:t>货物名称</w:t>
            </w:r>
          </w:p>
        </w:tc>
        <w:tc>
          <w:tcPr>
            <w:tcW w:w="2248" w:type="dxa"/>
            <w:vAlign w:val="center"/>
          </w:tcPr>
          <w:p w14:paraId="12CDE467">
            <w:pPr>
              <w:jc w:val="center"/>
              <w:rPr>
                <w:rFonts w:hint="default" w:ascii="Times New Roman" w:hAnsi="Times New Roman" w:eastAsia="宋体" w:cs="Times New Roman"/>
                <w:b/>
                <w:bCs/>
                <w:sz w:val="24"/>
                <w:szCs w:val="24"/>
                <w:vertAlign w:val="baseline"/>
                <w:lang w:val="en-US" w:eastAsia="zh-CN"/>
              </w:rPr>
            </w:pPr>
            <w:r>
              <w:rPr>
                <w:rFonts w:hint="default" w:ascii="Times New Roman" w:hAnsi="Times New Roman" w:eastAsia="宋体" w:cs="Times New Roman"/>
                <w:b/>
                <w:bCs/>
                <w:sz w:val="24"/>
                <w:szCs w:val="24"/>
                <w:vertAlign w:val="baseline"/>
                <w:lang w:val="en-US" w:eastAsia="zh-CN"/>
              </w:rPr>
              <w:t>数量</w:t>
            </w:r>
          </w:p>
        </w:tc>
      </w:tr>
      <w:tr w14:paraId="09BAE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8" w:type="dxa"/>
            <w:vAlign w:val="center"/>
          </w:tcPr>
          <w:p w14:paraId="195C6A3E">
            <w:pPr>
              <w:numPr>
                <w:ilvl w:val="0"/>
                <w:numId w:val="5"/>
              </w:numPr>
              <w:ind w:left="425" w:leftChars="0" w:hanging="425" w:firstLineChars="0"/>
              <w:jc w:val="center"/>
              <w:rPr>
                <w:rFonts w:hint="default" w:ascii="Times New Roman" w:hAnsi="Times New Roman" w:eastAsia="宋体" w:cs="Times New Roman"/>
                <w:sz w:val="24"/>
                <w:szCs w:val="24"/>
                <w:vertAlign w:val="baseline"/>
                <w:lang w:val="en-US" w:eastAsia="zh-CN"/>
              </w:rPr>
            </w:pPr>
          </w:p>
        </w:tc>
        <w:tc>
          <w:tcPr>
            <w:tcW w:w="4800" w:type="dxa"/>
            <w:vAlign w:val="center"/>
          </w:tcPr>
          <w:p w14:paraId="26C63931">
            <w:pPr>
              <w:jc w:val="center"/>
              <w:rPr>
                <w:rFonts w:hint="default" w:ascii="Times New Roman" w:hAnsi="Times New Roman" w:eastAsia="宋体" w:cs="Times New Roman"/>
                <w:sz w:val="24"/>
                <w:szCs w:val="24"/>
                <w:vertAlign w:val="baseline"/>
                <w:lang w:val="en-US" w:eastAsia="zh-CN"/>
              </w:rPr>
            </w:pPr>
            <w:r>
              <w:rPr>
                <w:rFonts w:hint="default" w:ascii="Times New Roman" w:hAnsi="Times New Roman" w:eastAsia="宋体" w:cs="Times New Roman"/>
                <w:color w:val="auto"/>
                <w:spacing w:val="2"/>
                <w:sz w:val="24"/>
                <w:szCs w:val="24"/>
              </w:rPr>
              <w:t>图书馆集群</w:t>
            </w:r>
            <w:r>
              <w:rPr>
                <w:rFonts w:hint="default" w:ascii="Times New Roman" w:hAnsi="Times New Roman" w:eastAsia="宋体" w:cs="Times New Roman"/>
                <w:color w:val="auto"/>
                <w:spacing w:val="-1"/>
                <w:sz w:val="24"/>
                <w:szCs w:val="24"/>
              </w:rPr>
              <w:t>自动化管理</w:t>
            </w:r>
            <w:r>
              <w:rPr>
                <w:rFonts w:hint="default" w:ascii="Times New Roman" w:hAnsi="Times New Roman" w:eastAsia="宋体" w:cs="Times New Roman"/>
                <w:color w:val="auto"/>
                <w:spacing w:val="-3"/>
                <w:sz w:val="24"/>
                <w:szCs w:val="24"/>
              </w:rPr>
              <w:t>系统</w:t>
            </w:r>
            <w:r>
              <w:rPr>
                <w:rFonts w:hint="default" w:ascii="Times New Roman" w:hAnsi="Times New Roman" w:eastAsia="宋体" w:cs="Times New Roman"/>
                <w:color w:val="auto"/>
                <w:spacing w:val="-3"/>
                <w:sz w:val="24"/>
                <w:szCs w:val="24"/>
                <w:lang w:val="en-US" w:eastAsia="zh-CN"/>
              </w:rPr>
              <w:t>（核心产品）</w:t>
            </w:r>
          </w:p>
        </w:tc>
        <w:tc>
          <w:tcPr>
            <w:tcW w:w="2248" w:type="dxa"/>
            <w:vAlign w:val="center"/>
          </w:tcPr>
          <w:p w14:paraId="4E0B4FF5">
            <w:pPr>
              <w:jc w:val="center"/>
              <w:rPr>
                <w:rFonts w:hint="default" w:ascii="Times New Roman" w:hAnsi="Times New Roman" w:eastAsia="宋体" w:cs="Times New Roman"/>
                <w:sz w:val="24"/>
                <w:szCs w:val="24"/>
                <w:vertAlign w:val="baseline"/>
                <w:lang w:val="en-US" w:eastAsia="zh-CN"/>
              </w:rPr>
            </w:pPr>
            <w:r>
              <w:rPr>
                <w:rFonts w:hint="default" w:ascii="Times New Roman" w:hAnsi="Times New Roman" w:eastAsia="宋体" w:cs="Times New Roman"/>
                <w:sz w:val="24"/>
                <w:szCs w:val="24"/>
                <w:vertAlign w:val="baseline"/>
                <w:lang w:val="en-US" w:eastAsia="zh-CN"/>
              </w:rPr>
              <w:t>1套</w:t>
            </w:r>
          </w:p>
        </w:tc>
      </w:tr>
      <w:tr w14:paraId="33E4E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8" w:type="dxa"/>
            <w:vAlign w:val="center"/>
          </w:tcPr>
          <w:p w14:paraId="101E359A">
            <w:pPr>
              <w:numPr>
                <w:ilvl w:val="0"/>
                <w:numId w:val="5"/>
              </w:numPr>
              <w:ind w:left="425" w:leftChars="0" w:hanging="425" w:firstLineChars="0"/>
              <w:jc w:val="center"/>
              <w:rPr>
                <w:rFonts w:hint="default" w:ascii="Times New Roman" w:hAnsi="Times New Roman" w:eastAsia="宋体" w:cs="Times New Roman"/>
                <w:sz w:val="24"/>
                <w:szCs w:val="24"/>
                <w:vertAlign w:val="baseline"/>
                <w:lang w:val="en-US" w:eastAsia="zh-CN"/>
              </w:rPr>
            </w:pPr>
          </w:p>
        </w:tc>
        <w:tc>
          <w:tcPr>
            <w:tcW w:w="4800" w:type="dxa"/>
            <w:shd w:val="clear" w:color="auto" w:fill="auto"/>
            <w:vAlign w:val="center"/>
          </w:tcPr>
          <w:p w14:paraId="4980B2A9">
            <w:pPr>
              <w:jc w:val="center"/>
              <w:rPr>
                <w:rFonts w:hint="default"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t>移动端服务大厅</w:t>
            </w:r>
          </w:p>
        </w:tc>
        <w:tc>
          <w:tcPr>
            <w:tcW w:w="2248" w:type="dxa"/>
            <w:shd w:val="clear" w:color="auto" w:fill="auto"/>
            <w:vAlign w:val="center"/>
          </w:tcPr>
          <w:p w14:paraId="1EAE2439">
            <w:pPr>
              <w:jc w:val="center"/>
              <w:rPr>
                <w:rFonts w:hint="default" w:ascii="Times New Roman" w:hAnsi="Times New Roman" w:eastAsia="宋体" w:cs="Times New Roman"/>
                <w:sz w:val="24"/>
                <w:szCs w:val="24"/>
                <w:vertAlign w:val="baseline"/>
                <w:lang w:val="en-US" w:eastAsia="zh-CN"/>
              </w:rPr>
            </w:pPr>
            <w:r>
              <w:rPr>
                <w:rFonts w:hint="default" w:ascii="Times New Roman" w:hAnsi="Times New Roman" w:eastAsia="宋体" w:cs="Times New Roman"/>
                <w:sz w:val="24"/>
                <w:szCs w:val="24"/>
                <w:vertAlign w:val="baseline"/>
                <w:lang w:val="en-US" w:eastAsia="zh-CN"/>
              </w:rPr>
              <w:t>1套</w:t>
            </w:r>
          </w:p>
        </w:tc>
      </w:tr>
      <w:tr w14:paraId="4AD2F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8" w:type="dxa"/>
            <w:vAlign w:val="center"/>
          </w:tcPr>
          <w:p w14:paraId="2AE25FEB">
            <w:pPr>
              <w:numPr>
                <w:ilvl w:val="0"/>
                <w:numId w:val="5"/>
              </w:numPr>
              <w:ind w:left="425" w:leftChars="0" w:hanging="425" w:firstLineChars="0"/>
              <w:jc w:val="center"/>
              <w:rPr>
                <w:rFonts w:hint="default" w:ascii="Times New Roman" w:hAnsi="Times New Roman" w:eastAsia="宋体" w:cs="Times New Roman"/>
                <w:sz w:val="24"/>
                <w:szCs w:val="24"/>
                <w:vertAlign w:val="baseline"/>
                <w:lang w:val="en-US" w:eastAsia="zh-CN"/>
              </w:rPr>
            </w:pPr>
          </w:p>
        </w:tc>
        <w:tc>
          <w:tcPr>
            <w:tcW w:w="4800" w:type="dxa"/>
            <w:shd w:val="clear" w:color="auto" w:fill="auto"/>
            <w:vAlign w:val="center"/>
          </w:tcPr>
          <w:p w14:paraId="7192C463">
            <w:pPr>
              <w:jc w:val="left"/>
              <w:rPr>
                <w:rFonts w:hint="default"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pPr>
            <w:r>
              <w:rPr>
                <w:rFonts w:hint="default" w:ascii="Times New Roman" w:hAnsi="Times New Roman" w:eastAsia="宋体" w:cs="Times New Roman"/>
                <w:color w:val="auto"/>
                <w:kern w:val="2"/>
                <w:sz w:val="24"/>
                <w:szCs w:val="24"/>
                <w:highlight w:val="none"/>
                <w:lang w:val="en-US" w:eastAsia="zh-CN" w:bidi="ar"/>
              </w:rPr>
              <w:t>无人值守门禁闸机刷脸款</w:t>
            </w:r>
            <w:r>
              <w:rPr>
                <w:rFonts w:hint="default"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t>（1通道/3通道）</w:t>
            </w:r>
          </w:p>
        </w:tc>
        <w:tc>
          <w:tcPr>
            <w:tcW w:w="2248" w:type="dxa"/>
            <w:shd w:val="clear" w:color="auto" w:fill="auto"/>
            <w:vAlign w:val="center"/>
          </w:tcPr>
          <w:p w14:paraId="32B23785">
            <w:pPr>
              <w:jc w:val="center"/>
              <w:rPr>
                <w:rFonts w:hint="default" w:ascii="Times New Roman" w:hAnsi="Times New Roman" w:eastAsia="宋体" w:cs="Times New Roman"/>
                <w:kern w:val="2"/>
                <w:sz w:val="24"/>
                <w:szCs w:val="24"/>
                <w:vertAlign w:val="baseline"/>
                <w:lang w:val="en-US" w:eastAsia="zh-CN" w:bidi="ar-SA"/>
              </w:rPr>
            </w:pPr>
            <w:r>
              <w:rPr>
                <w:rFonts w:hint="default" w:ascii="Times New Roman" w:hAnsi="Times New Roman" w:eastAsia="宋体" w:cs="Times New Roman"/>
                <w:sz w:val="24"/>
                <w:szCs w:val="24"/>
                <w:vertAlign w:val="baseline"/>
                <w:lang w:val="en-US" w:eastAsia="zh-CN"/>
              </w:rPr>
              <w:t>2套</w:t>
            </w:r>
          </w:p>
        </w:tc>
      </w:tr>
      <w:tr w14:paraId="651E5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8" w:type="dxa"/>
            <w:vAlign w:val="center"/>
          </w:tcPr>
          <w:p w14:paraId="149ECCB1">
            <w:pPr>
              <w:numPr>
                <w:ilvl w:val="0"/>
                <w:numId w:val="5"/>
              </w:numPr>
              <w:ind w:left="425" w:leftChars="0" w:hanging="425" w:firstLineChars="0"/>
              <w:jc w:val="center"/>
              <w:rPr>
                <w:rFonts w:hint="default" w:ascii="Times New Roman" w:hAnsi="Times New Roman" w:eastAsia="宋体" w:cs="Times New Roman"/>
                <w:sz w:val="24"/>
                <w:szCs w:val="24"/>
                <w:vertAlign w:val="baseline"/>
                <w:lang w:val="en-US" w:eastAsia="zh-CN"/>
              </w:rPr>
            </w:pPr>
          </w:p>
        </w:tc>
        <w:tc>
          <w:tcPr>
            <w:tcW w:w="4800" w:type="dxa"/>
            <w:shd w:val="clear" w:color="auto" w:fill="auto"/>
            <w:vAlign w:val="center"/>
          </w:tcPr>
          <w:p w14:paraId="0EC4D2E4">
            <w:pPr>
              <w:jc w:val="center"/>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机柜</w:t>
            </w:r>
          </w:p>
        </w:tc>
        <w:tc>
          <w:tcPr>
            <w:tcW w:w="2248" w:type="dxa"/>
            <w:shd w:val="clear" w:color="auto" w:fill="auto"/>
            <w:vAlign w:val="center"/>
          </w:tcPr>
          <w:p w14:paraId="1B98B03B">
            <w:pPr>
              <w:jc w:val="center"/>
              <w:rPr>
                <w:rFonts w:hint="default" w:ascii="Times New Roman" w:hAnsi="Times New Roman" w:eastAsia="宋体" w:cs="Times New Roman"/>
                <w:sz w:val="24"/>
                <w:szCs w:val="24"/>
                <w:vertAlign w:val="baseline"/>
                <w:lang w:val="en-US" w:eastAsia="zh-CN"/>
              </w:rPr>
            </w:pPr>
            <w:r>
              <w:rPr>
                <w:rFonts w:hint="default" w:ascii="Times New Roman" w:hAnsi="Times New Roman" w:eastAsia="宋体" w:cs="Times New Roman"/>
                <w:sz w:val="24"/>
                <w:szCs w:val="24"/>
                <w:vertAlign w:val="baseline"/>
                <w:lang w:val="en-US" w:eastAsia="zh-CN"/>
              </w:rPr>
              <w:t>2个</w:t>
            </w:r>
          </w:p>
        </w:tc>
      </w:tr>
      <w:tr w14:paraId="4CA47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8" w:type="dxa"/>
            <w:vAlign w:val="center"/>
          </w:tcPr>
          <w:p w14:paraId="0B72BB65">
            <w:pPr>
              <w:numPr>
                <w:ilvl w:val="0"/>
                <w:numId w:val="5"/>
              </w:numPr>
              <w:ind w:left="425" w:leftChars="0" w:hanging="425" w:firstLineChars="0"/>
              <w:jc w:val="center"/>
              <w:rPr>
                <w:rFonts w:hint="default" w:ascii="Times New Roman" w:hAnsi="Times New Roman" w:eastAsia="宋体" w:cs="Times New Roman"/>
                <w:sz w:val="24"/>
                <w:szCs w:val="24"/>
                <w:vertAlign w:val="baseline"/>
                <w:lang w:val="en-US" w:eastAsia="zh-CN"/>
              </w:rPr>
            </w:pPr>
          </w:p>
        </w:tc>
        <w:tc>
          <w:tcPr>
            <w:tcW w:w="4800" w:type="dxa"/>
            <w:shd w:val="clear" w:color="auto" w:fill="auto"/>
            <w:vAlign w:val="center"/>
          </w:tcPr>
          <w:p w14:paraId="73354AD5">
            <w:pPr>
              <w:jc w:val="center"/>
              <w:rPr>
                <w:rFonts w:hint="default"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t>RFID安全门（2片/2片）</w:t>
            </w:r>
          </w:p>
        </w:tc>
        <w:tc>
          <w:tcPr>
            <w:tcW w:w="2248" w:type="dxa"/>
            <w:shd w:val="clear" w:color="auto" w:fill="auto"/>
            <w:vAlign w:val="center"/>
          </w:tcPr>
          <w:p w14:paraId="5EA100FB">
            <w:pPr>
              <w:jc w:val="center"/>
              <w:rPr>
                <w:rFonts w:hint="default" w:ascii="Times New Roman" w:hAnsi="Times New Roman" w:eastAsia="宋体" w:cs="Times New Roman"/>
                <w:kern w:val="2"/>
                <w:sz w:val="24"/>
                <w:szCs w:val="24"/>
                <w:vertAlign w:val="baseline"/>
                <w:lang w:val="en-US" w:eastAsia="zh-CN" w:bidi="ar-SA"/>
              </w:rPr>
            </w:pPr>
            <w:r>
              <w:rPr>
                <w:rFonts w:hint="default" w:ascii="Times New Roman" w:hAnsi="Times New Roman" w:eastAsia="宋体" w:cs="Times New Roman"/>
                <w:sz w:val="24"/>
                <w:szCs w:val="24"/>
                <w:vertAlign w:val="baseline"/>
                <w:lang w:val="en-US" w:eastAsia="zh-CN"/>
              </w:rPr>
              <w:t>2套</w:t>
            </w:r>
          </w:p>
        </w:tc>
      </w:tr>
      <w:tr w14:paraId="4C0A2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8" w:type="dxa"/>
            <w:vAlign w:val="center"/>
          </w:tcPr>
          <w:p w14:paraId="7658070F">
            <w:pPr>
              <w:numPr>
                <w:ilvl w:val="0"/>
                <w:numId w:val="5"/>
              </w:numPr>
              <w:ind w:left="425" w:leftChars="0" w:hanging="425" w:firstLineChars="0"/>
              <w:jc w:val="center"/>
              <w:rPr>
                <w:rFonts w:hint="default" w:ascii="Times New Roman" w:hAnsi="Times New Roman" w:eastAsia="宋体" w:cs="Times New Roman"/>
                <w:sz w:val="24"/>
                <w:szCs w:val="24"/>
                <w:vertAlign w:val="baseline"/>
                <w:lang w:val="en-US" w:eastAsia="zh-CN"/>
              </w:rPr>
            </w:pPr>
          </w:p>
        </w:tc>
        <w:tc>
          <w:tcPr>
            <w:tcW w:w="4800" w:type="dxa"/>
            <w:shd w:val="clear" w:color="auto" w:fill="auto"/>
            <w:vAlign w:val="center"/>
          </w:tcPr>
          <w:p w14:paraId="29BA6716">
            <w:pPr>
              <w:jc w:val="center"/>
              <w:rPr>
                <w:rFonts w:hint="default"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t>馆员工作站</w:t>
            </w:r>
          </w:p>
        </w:tc>
        <w:tc>
          <w:tcPr>
            <w:tcW w:w="2248" w:type="dxa"/>
            <w:shd w:val="clear" w:color="auto" w:fill="auto"/>
            <w:vAlign w:val="center"/>
          </w:tcPr>
          <w:p w14:paraId="1519430C">
            <w:pPr>
              <w:jc w:val="center"/>
              <w:rPr>
                <w:rFonts w:hint="default" w:ascii="Times New Roman" w:hAnsi="Times New Roman" w:eastAsia="宋体" w:cs="Times New Roman"/>
                <w:kern w:val="2"/>
                <w:sz w:val="24"/>
                <w:szCs w:val="24"/>
                <w:vertAlign w:val="baseline"/>
                <w:lang w:val="en-US" w:eastAsia="zh-CN" w:bidi="ar-SA"/>
              </w:rPr>
            </w:pPr>
            <w:r>
              <w:rPr>
                <w:rFonts w:hint="default" w:ascii="Times New Roman" w:hAnsi="Times New Roman" w:eastAsia="宋体" w:cs="Times New Roman"/>
                <w:sz w:val="24"/>
                <w:szCs w:val="24"/>
                <w:vertAlign w:val="baseline"/>
                <w:lang w:val="en-US" w:eastAsia="zh-CN"/>
              </w:rPr>
              <w:t>2台</w:t>
            </w:r>
          </w:p>
        </w:tc>
      </w:tr>
      <w:tr w14:paraId="76897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8" w:type="dxa"/>
            <w:vAlign w:val="center"/>
          </w:tcPr>
          <w:p w14:paraId="6C229917">
            <w:pPr>
              <w:numPr>
                <w:ilvl w:val="0"/>
                <w:numId w:val="5"/>
              </w:numPr>
              <w:ind w:left="425" w:leftChars="0" w:hanging="425" w:firstLineChars="0"/>
              <w:jc w:val="center"/>
              <w:rPr>
                <w:rFonts w:hint="default" w:ascii="Times New Roman" w:hAnsi="Times New Roman" w:eastAsia="宋体" w:cs="Times New Roman"/>
                <w:sz w:val="24"/>
                <w:szCs w:val="24"/>
                <w:vertAlign w:val="baseline"/>
                <w:lang w:val="en-US" w:eastAsia="zh-CN"/>
              </w:rPr>
            </w:pPr>
          </w:p>
        </w:tc>
        <w:tc>
          <w:tcPr>
            <w:tcW w:w="4800" w:type="dxa"/>
            <w:shd w:val="clear" w:color="auto" w:fill="auto"/>
            <w:vAlign w:val="center"/>
          </w:tcPr>
          <w:p w14:paraId="3E45F88D">
            <w:pPr>
              <w:jc w:val="center"/>
              <w:rPr>
                <w:rFonts w:hint="default"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t>自助借还机</w:t>
            </w:r>
          </w:p>
        </w:tc>
        <w:tc>
          <w:tcPr>
            <w:tcW w:w="2248" w:type="dxa"/>
            <w:shd w:val="clear" w:color="auto" w:fill="auto"/>
            <w:vAlign w:val="center"/>
          </w:tcPr>
          <w:p w14:paraId="304F1C71">
            <w:pPr>
              <w:jc w:val="center"/>
              <w:rPr>
                <w:rFonts w:hint="default" w:ascii="Times New Roman" w:hAnsi="Times New Roman" w:eastAsia="宋体" w:cs="Times New Roman"/>
                <w:kern w:val="2"/>
                <w:sz w:val="24"/>
                <w:szCs w:val="24"/>
                <w:vertAlign w:val="baseline"/>
                <w:lang w:val="en-US" w:eastAsia="zh-CN" w:bidi="ar-SA"/>
              </w:rPr>
            </w:pPr>
            <w:r>
              <w:rPr>
                <w:rFonts w:hint="default" w:ascii="Times New Roman" w:hAnsi="Times New Roman" w:eastAsia="宋体" w:cs="Times New Roman"/>
                <w:sz w:val="24"/>
                <w:szCs w:val="24"/>
                <w:vertAlign w:val="baseline"/>
                <w:lang w:val="en-US" w:eastAsia="zh-CN"/>
              </w:rPr>
              <w:t>2台</w:t>
            </w:r>
          </w:p>
        </w:tc>
      </w:tr>
      <w:tr w14:paraId="11E1B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8" w:type="dxa"/>
            <w:vAlign w:val="center"/>
          </w:tcPr>
          <w:p w14:paraId="37F4774D">
            <w:pPr>
              <w:numPr>
                <w:ilvl w:val="0"/>
                <w:numId w:val="5"/>
              </w:numPr>
              <w:ind w:left="425" w:leftChars="0" w:hanging="425" w:firstLineChars="0"/>
              <w:jc w:val="center"/>
              <w:rPr>
                <w:rFonts w:hint="default" w:ascii="Times New Roman" w:hAnsi="Times New Roman" w:eastAsia="宋体" w:cs="Times New Roman"/>
                <w:sz w:val="24"/>
                <w:szCs w:val="24"/>
                <w:vertAlign w:val="baseline"/>
                <w:lang w:val="en-US" w:eastAsia="zh-CN"/>
              </w:rPr>
            </w:pPr>
          </w:p>
        </w:tc>
        <w:tc>
          <w:tcPr>
            <w:tcW w:w="4800" w:type="dxa"/>
            <w:shd w:val="clear" w:color="auto" w:fill="auto"/>
            <w:vAlign w:val="center"/>
          </w:tcPr>
          <w:p w14:paraId="664DD0E8">
            <w:pPr>
              <w:jc w:val="center"/>
              <w:rPr>
                <w:rFonts w:hint="default"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t>移动还书车</w:t>
            </w:r>
          </w:p>
        </w:tc>
        <w:tc>
          <w:tcPr>
            <w:tcW w:w="2248" w:type="dxa"/>
            <w:shd w:val="clear" w:color="auto" w:fill="auto"/>
            <w:vAlign w:val="center"/>
          </w:tcPr>
          <w:p w14:paraId="6E095852">
            <w:pPr>
              <w:jc w:val="center"/>
              <w:rPr>
                <w:rFonts w:hint="default" w:ascii="Times New Roman" w:hAnsi="Times New Roman" w:eastAsia="宋体" w:cs="Times New Roman"/>
                <w:kern w:val="2"/>
                <w:sz w:val="24"/>
                <w:szCs w:val="24"/>
                <w:vertAlign w:val="baseline"/>
                <w:lang w:val="en-US" w:eastAsia="zh-CN" w:bidi="ar-SA"/>
              </w:rPr>
            </w:pPr>
            <w:r>
              <w:rPr>
                <w:rFonts w:hint="default" w:ascii="Times New Roman" w:hAnsi="Times New Roman" w:eastAsia="宋体" w:cs="Times New Roman"/>
                <w:sz w:val="24"/>
                <w:szCs w:val="24"/>
                <w:vertAlign w:val="baseline"/>
                <w:lang w:val="en-US" w:eastAsia="zh-CN"/>
              </w:rPr>
              <w:t>2台</w:t>
            </w:r>
          </w:p>
        </w:tc>
      </w:tr>
      <w:tr w14:paraId="6E4729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8" w:type="dxa"/>
            <w:vAlign w:val="center"/>
          </w:tcPr>
          <w:p w14:paraId="6F4BAC81">
            <w:pPr>
              <w:numPr>
                <w:ilvl w:val="0"/>
                <w:numId w:val="5"/>
              </w:numPr>
              <w:ind w:left="425" w:leftChars="0" w:hanging="425" w:firstLineChars="0"/>
              <w:jc w:val="center"/>
              <w:rPr>
                <w:rFonts w:hint="default" w:ascii="Times New Roman" w:hAnsi="Times New Roman" w:eastAsia="宋体" w:cs="Times New Roman"/>
                <w:sz w:val="24"/>
                <w:szCs w:val="24"/>
                <w:vertAlign w:val="baseline"/>
                <w:lang w:val="en-US" w:eastAsia="zh-CN"/>
              </w:rPr>
            </w:pPr>
          </w:p>
        </w:tc>
        <w:tc>
          <w:tcPr>
            <w:tcW w:w="4800" w:type="dxa"/>
            <w:shd w:val="clear" w:color="auto" w:fill="auto"/>
            <w:vAlign w:val="center"/>
          </w:tcPr>
          <w:p w14:paraId="0D4BDD86">
            <w:pPr>
              <w:jc w:val="center"/>
              <w:rPr>
                <w:rFonts w:hint="default"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t>点检仪</w:t>
            </w:r>
          </w:p>
        </w:tc>
        <w:tc>
          <w:tcPr>
            <w:tcW w:w="2248" w:type="dxa"/>
            <w:shd w:val="clear" w:color="auto" w:fill="auto"/>
            <w:vAlign w:val="center"/>
          </w:tcPr>
          <w:p w14:paraId="1EDC2CA9">
            <w:pPr>
              <w:jc w:val="center"/>
              <w:rPr>
                <w:rFonts w:hint="default" w:ascii="Times New Roman" w:hAnsi="Times New Roman" w:eastAsia="宋体" w:cs="Times New Roman"/>
                <w:sz w:val="24"/>
                <w:szCs w:val="24"/>
                <w:vertAlign w:val="baseline"/>
                <w:lang w:val="en-US" w:eastAsia="zh-CN"/>
              </w:rPr>
            </w:pPr>
            <w:r>
              <w:rPr>
                <w:rFonts w:hint="default" w:ascii="Times New Roman" w:hAnsi="Times New Roman" w:eastAsia="宋体" w:cs="Times New Roman"/>
                <w:sz w:val="24"/>
                <w:szCs w:val="24"/>
                <w:vertAlign w:val="baseline"/>
                <w:lang w:val="en-US" w:eastAsia="zh-CN"/>
              </w:rPr>
              <w:t>2台</w:t>
            </w:r>
          </w:p>
        </w:tc>
      </w:tr>
      <w:tr w14:paraId="67FCA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8" w:type="dxa"/>
            <w:vAlign w:val="center"/>
          </w:tcPr>
          <w:p w14:paraId="477B5195">
            <w:pPr>
              <w:numPr>
                <w:ilvl w:val="0"/>
                <w:numId w:val="5"/>
              </w:numPr>
              <w:ind w:left="425" w:leftChars="0" w:hanging="425" w:firstLineChars="0"/>
              <w:jc w:val="center"/>
              <w:rPr>
                <w:rFonts w:hint="default" w:ascii="Times New Roman" w:hAnsi="Times New Roman" w:eastAsia="宋体" w:cs="Times New Roman"/>
                <w:sz w:val="24"/>
                <w:szCs w:val="24"/>
                <w:vertAlign w:val="baseline"/>
                <w:lang w:val="en-US" w:eastAsia="zh-CN"/>
              </w:rPr>
            </w:pPr>
          </w:p>
        </w:tc>
        <w:tc>
          <w:tcPr>
            <w:tcW w:w="4800" w:type="dxa"/>
            <w:shd w:val="clear" w:color="auto" w:fill="auto"/>
            <w:vAlign w:val="center"/>
          </w:tcPr>
          <w:p w14:paraId="026A12FE">
            <w:pPr>
              <w:jc w:val="center"/>
              <w:rPr>
                <w:rFonts w:hint="default"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pPr>
            <w:r>
              <w:rPr>
                <w:rFonts w:hint="default" w:ascii="Times New Roman" w:hAnsi="Times New Roman" w:eastAsia="宋体" w:cs="Times New Roman"/>
                <w:b w:val="0"/>
                <w:bCs w:val="0"/>
                <w:snapToGrid w:val="0"/>
                <w:color w:val="000000"/>
                <w:spacing w:val="6"/>
                <w:kern w:val="0"/>
                <w:sz w:val="24"/>
                <w:szCs w:val="24"/>
                <w:lang w:val="en-US" w:eastAsia="zh-CN" w:bidi="ar-SA"/>
              </w:rPr>
              <w:t>盘点软件</w:t>
            </w:r>
          </w:p>
        </w:tc>
        <w:tc>
          <w:tcPr>
            <w:tcW w:w="2248" w:type="dxa"/>
            <w:shd w:val="clear" w:color="auto" w:fill="auto"/>
            <w:vAlign w:val="center"/>
          </w:tcPr>
          <w:p w14:paraId="54492E70">
            <w:pPr>
              <w:jc w:val="center"/>
              <w:rPr>
                <w:rFonts w:hint="default" w:ascii="Times New Roman" w:hAnsi="Times New Roman" w:eastAsia="宋体" w:cs="Times New Roman"/>
                <w:sz w:val="24"/>
                <w:szCs w:val="24"/>
                <w:vertAlign w:val="baseline"/>
                <w:lang w:val="en-US" w:eastAsia="zh-CN"/>
              </w:rPr>
            </w:pPr>
            <w:r>
              <w:rPr>
                <w:rFonts w:hint="default" w:ascii="Times New Roman" w:hAnsi="Times New Roman" w:eastAsia="宋体" w:cs="Times New Roman"/>
                <w:sz w:val="24"/>
                <w:szCs w:val="24"/>
                <w:vertAlign w:val="baseline"/>
                <w:lang w:val="en-US" w:eastAsia="zh-CN"/>
              </w:rPr>
              <w:t>1套</w:t>
            </w:r>
          </w:p>
        </w:tc>
      </w:tr>
      <w:tr w14:paraId="44B58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8" w:type="dxa"/>
            <w:vAlign w:val="center"/>
          </w:tcPr>
          <w:p w14:paraId="7BB4B8FF">
            <w:pPr>
              <w:numPr>
                <w:ilvl w:val="0"/>
                <w:numId w:val="5"/>
              </w:numPr>
              <w:ind w:left="425" w:leftChars="0" w:hanging="425" w:firstLineChars="0"/>
              <w:jc w:val="center"/>
              <w:rPr>
                <w:rFonts w:hint="default" w:ascii="Times New Roman" w:hAnsi="Times New Roman" w:eastAsia="宋体" w:cs="Times New Roman"/>
                <w:sz w:val="24"/>
                <w:szCs w:val="24"/>
                <w:vertAlign w:val="baseline"/>
                <w:lang w:val="en-US" w:eastAsia="zh-CN"/>
              </w:rPr>
            </w:pPr>
          </w:p>
        </w:tc>
        <w:tc>
          <w:tcPr>
            <w:tcW w:w="4800" w:type="dxa"/>
            <w:shd w:val="clear" w:color="auto" w:fill="auto"/>
            <w:vAlign w:val="center"/>
          </w:tcPr>
          <w:p w14:paraId="70C6D971">
            <w:pPr>
              <w:jc w:val="center"/>
              <w:rPr>
                <w:rFonts w:hint="default" w:ascii="Times New Roman" w:hAnsi="Times New Roman" w:eastAsia="宋体" w:cs="Times New Roman"/>
                <w:b w:val="0"/>
                <w:bCs w:val="0"/>
                <w:snapToGrid w:val="0"/>
                <w:color w:val="000000"/>
                <w:spacing w:val="6"/>
                <w:kern w:val="0"/>
                <w:sz w:val="24"/>
                <w:szCs w:val="24"/>
                <w:lang w:val="en-US" w:eastAsia="zh-CN" w:bidi="ar-SA"/>
              </w:rPr>
            </w:pPr>
            <w:r>
              <w:rPr>
                <w:rFonts w:hint="default" w:ascii="Times New Roman" w:hAnsi="Times New Roman" w:eastAsia="宋体" w:cs="Times New Roman"/>
                <w:sz w:val="24"/>
                <w:szCs w:val="24"/>
                <w:highlight w:val="none"/>
              </w:rPr>
              <w:t>RFID图书定位系统</w:t>
            </w:r>
          </w:p>
        </w:tc>
        <w:tc>
          <w:tcPr>
            <w:tcW w:w="2248" w:type="dxa"/>
            <w:shd w:val="clear" w:color="auto" w:fill="auto"/>
            <w:vAlign w:val="center"/>
          </w:tcPr>
          <w:p w14:paraId="52F223C0">
            <w:pPr>
              <w:jc w:val="center"/>
              <w:rPr>
                <w:rFonts w:hint="default" w:ascii="Times New Roman" w:hAnsi="Times New Roman" w:eastAsia="宋体" w:cs="Times New Roman"/>
                <w:sz w:val="24"/>
                <w:szCs w:val="24"/>
                <w:vertAlign w:val="baseline"/>
                <w:lang w:val="en-US" w:eastAsia="zh-CN"/>
              </w:rPr>
            </w:pPr>
            <w:r>
              <w:rPr>
                <w:rFonts w:hint="default" w:ascii="Times New Roman" w:hAnsi="Times New Roman" w:eastAsia="宋体" w:cs="Times New Roman"/>
                <w:sz w:val="24"/>
                <w:szCs w:val="24"/>
                <w:vertAlign w:val="baseline"/>
                <w:lang w:val="en-US" w:eastAsia="zh-CN"/>
              </w:rPr>
              <w:t>1套</w:t>
            </w:r>
          </w:p>
        </w:tc>
      </w:tr>
      <w:tr w14:paraId="60372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8" w:type="dxa"/>
            <w:vAlign w:val="center"/>
          </w:tcPr>
          <w:p w14:paraId="21EDC9D3">
            <w:pPr>
              <w:numPr>
                <w:ilvl w:val="0"/>
                <w:numId w:val="5"/>
              </w:numPr>
              <w:ind w:left="425" w:leftChars="0" w:hanging="425" w:firstLineChars="0"/>
              <w:jc w:val="center"/>
              <w:rPr>
                <w:rFonts w:hint="default" w:ascii="Times New Roman" w:hAnsi="Times New Roman" w:eastAsia="宋体" w:cs="Times New Roman"/>
                <w:sz w:val="24"/>
                <w:szCs w:val="24"/>
                <w:vertAlign w:val="baseline"/>
                <w:lang w:val="en-US" w:eastAsia="zh-CN"/>
              </w:rPr>
            </w:pPr>
          </w:p>
        </w:tc>
        <w:tc>
          <w:tcPr>
            <w:tcW w:w="4800" w:type="dxa"/>
            <w:shd w:val="clear" w:color="auto" w:fill="auto"/>
            <w:vAlign w:val="center"/>
          </w:tcPr>
          <w:p w14:paraId="70AB742F">
            <w:pPr>
              <w:jc w:val="center"/>
              <w:rPr>
                <w:rFonts w:hint="default" w:ascii="Times New Roman" w:hAnsi="Times New Roman" w:eastAsia="宋体" w:cs="Times New Roman"/>
                <w:sz w:val="24"/>
                <w:szCs w:val="24"/>
                <w:highlight w:val="none"/>
              </w:rPr>
            </w:pPr>
            <w:r>
              <w:rPr>
                <w:rFonts w:hint="default" w:ascii="Times New Roman" w:hAnsi="Times New Roman" w:eastAsia="宋体" w:cs="Times New Roman"/>
                <w:spacing w:val="4"/>
                <w:sz w:val="24"/>
                <w:szCs w:val="24"/>
                <w:highlight w:val="none"/>
                <w:lang w:val="en-US" w:eastAsia="zh-CN"/>
              </w:rPr>
              <w:t>层架标签</w:t>
            </w:r>
          </w:p>
        </w:tc>
        <w:tc>
          <w:tcPr>
            <w:tcW w:w="2248" w:type="dxa"/>
            <w:shd w:val="clear" w:color="auto" w:fill="auto"/>
            <w:vAlign w:val="center"/>
          </w:tcPr>
          <w:p w14:paraId="5C97A7D4">
            <w:pPr>
              <w:jc w:val="center"/>
              <w:rPr>
                <w:rFonts w:hint="default" w:ascii="Times New Roman" w:hAnsi="Times New Roman" w:eastAsia="宋体" w:cs="Times New Roman"/>
                <w:sz w:val="24"/>
                <w:szCs w:val="24"/>
                <w:vertAlign w:val="baseline"/>
                <w:lang w:val="en-US" w:eastAsia="zh-CN"/>
              </w:rPr>
            </w:pPr>
            <w:r>
              <w:rPr>
                <w:rFonts w:hint="default" w:ascii="Times New Roman" w:hAnsi="Times New Roman" w:eastAsia="宋体" w:cs="Times New Roman"/>
                <w:sz w:val="24"/>
                <w:szCs w:val="24"/>
                <w:vertAlign w:val="baseline"/>
                <w:lang w:val="en-US" w:eastAsia="zh-CN"/>
              </w:rPr>
              <w:t>2000个</w:t>
            </w:r>
          </w:p>
        </w:tc>
      </w:tr>
      <w:tr w14:paraId="7A7E4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8" w:type="dxa"/>
            <w:vAlign w:val="center"/>
          </w:tcPr>
          <w:p w14:paraId="4A77FF33">
            <w:pPr>
              <w:numPr>
                <w:ilvl w:val="0"/>
                <w:numId w:val="5"/>
              </w:numPr>
              <w:ind w:left="425" w:leftChars="0" w:hanging="425" w:firstLineChars="0"/>
              <w:jc w:val="center"/>
              <w:rPr>
                <w:rFonts w:hint="default" w:ascii="Times New Roman" w:hAnsi="Times New Roman" w:eastAsia="宋体" w:cs="Times New Roman"/>
                <w:sz w:val="24"/>
                <w:szCs w:val="24"/>
                <w:vertAlign w:val="baseline"/>
                <w:lang w:val="en-US" w:eastAsia="zh-CN"/>
              </w:rPr>
            </w:pPr>
          </w:p>
        </w:tc>
        <w:tc>
          <w:tcPr>
            <w:tcW w:w="4800" w:type="dxa"/>
            <w:shd w:val="clear" w:color="auto" w:fill="auto"/>
            <w:vAlign w:val="center"/>
          </w:tcPr>
          <w:p w14:paraId="6B8A382E">
            <w:pPr>
              <w:jc w:val="center"/>
              <w:rPr>
                <w:rFonts w:hint="default"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t>大数据统计显示系统</w:t>
            </w:r>
          </w:p>
        </w:tc>
        <w:tc>
          <w:tcPr>
            <w:tcW w:w="2248" w:type="dxa"/>
            <w:shd w:val="clear" w:color="auto" w:fill="auto"/>
            <w:vAlign w:val="center"/>
          </w:tcPr>
          <w:p w14:paraId="7E50164A">
            <w:pPr>
              <w:jc w:val="center"/>
              <w:rPr>
                <w:rFonts w:hint="default" w:ascii="Times New Roman" w:hAnsi="Times New Roman" w:eastAsia="宋体" w:cs="Times New Roman"/>
                <w:kern w:val="2"/>
                <w:sz w:val="24"/>
                <w:szCs w:val="24"/>
                <w:vertAlign w:val="baseline"/>
                <w:lang w:val="en-US" w:eastAsia="zh-CN" w:bidi="ar-SA"/>
              </w:rPr>
            </w:pPr>
            <w:r>
              <w:rPr>
                <w:rFonts w:hint="default" w:ascii="Times New Roman" w:hAnsi="Times New Roman" w:eastAsia="宋体" w:cs="Times New Roman"/>
                <w:sz w:val="24"/>
                <w:szCs w:val="24"/>
                <w:vertAlign w:val="baseline"/>
                <w:lang w:val="en-US" w:eastAsia="zh-CN"/>
              </w:rPr>
              <w:t>1套</w:t>
            </w:r>
          </w:p>
        </w:tc>
      </w:tr>
      <w:tr w14:paraId="3A5FB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8" w:type="dxa"/>
            <w:vAlign w:val="center"/>
          </w:tcPr>
          <w:p w14:paraId="4D6CE0F9">
            <w:pPr>
              <w:numPr>
                <w:ilvl w:val="0"/>
                <w:numId w:val="5"/>
              </w:numPr>
              <w:ind w:left="425" w:leftChars="0" w:hanging="425" w:firstLineChars="0"/>
              <w:jc w:val="center"/>
              <w:rPr>
                <w:rFonts w:hint="default" w:ascii="Times New Roman" w:hAnsi="Times New Roman" w:eastAsia="宋体" w:cs="Times New Roman"/>
                <w:sz w:val="24"/>
                <w:szCs w:val="24"/>
                <w:vertAlign w:val="baseline"/>
                <w:lang w:val="en-US" w:eastAsia="zh-CN"/>
              </w:rPr>
            </w:pPr>
          </w:p>
        </w:tc>
        <w:tc>
          <w:tcPr>
            <w:tcW w:w="4800" w:type="dxa"/>
            <w:shd w:val="clear" w:color="auto" w:fill="auto"/>
            <w:vAlign w:val="center"/>
          </w:tcPr>
          <w:p w14:paraId="5C50AD3A">
            <w:pPr>
              <w:jc w:val="center"/>
              <w:rPr>
                <w:rFonts w:hint="default"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t>100英寸液晶显示屏</w:t>
            </w:r>
          </w:p>
        </w:tc>
        <w:tc>
          <w:tcPr>
            <w:tcW w:w="2248" w:type="dxa"/>
            <w:shd w:val="clear" w:color="auto" w:fill="auto"/>
            <w:vAlign w:val="center"/>
          </w:tcPr>
          <w:p w14:paraId="12D1AABD">
            <w:pPr>
              <w:jc w:val="center"/>
              <w:rPr>
                <w:rFonts w:hint="default" w:ascii="Times New Roman" w:hAnsi="Times New Roman" w:eastAsia="宋体" w:cs="Times New Roman"/>
                <w:sz w:val="24"/>
                <w:szCs w:val="24"/>
                <w:vertAlign w:val="baseline"/>
                <w:lang w:val="en-US" w:eastAsia="zh-CN"/>
              </w:rPr>
            </w:pPr>
            <w:r>
              <w:rPr>
                <w:rFonts w:hint="default" w:ascii="Times New Roman" w:hAnsi="Times New Roman" w:eastAsia="宋体" w:cs="Times New Roman"/>
                <w:sz w:val="24"/>
                <w:szCs w:val="24"/>
                <w:vertAlign w:val="baseline"/>
                <w:lang w:val="en-US" w:eastAsia="zh-CN"/>
              </w:rPr>
              <w:t>2台</w:t>
            </w:r>
          </w:p>
        </w:tc>
      </w:tr>
      <w:tr w14:paraId="6CF6B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8" w:type="dxa"/>
            <w:vAlign w:val="center"/>
          </w:tcPr>
          <w:p w14:paraId="4A634865">
            <w:pPr>
              <w:numPr>
                <w:ilvl w:val="0"/>
                <w:numId w:val="5"/>
              </w:numPr>
              <w:ind w:left="425" w:leftChars="0" w:hanging="425" w:firstLineChars="0"/>
              <w:jc w:val="center"/>
              <w:rPr>
                <w:rFonts w:hint="default" w:ascii="Times New Roman" w:hAnsi="Times New Roman" w:eastAsia="宋体" w:cs="Times New Roman"/>
                <w:sz w:val="24"/>
                <w:szCs w:val="24"/>
                <w:vertAlign w:val="baseline"/>
                <w:lang w:val="en-US" w:eastAsia="zh-CN"/>
              </w:rPr>
            </w:pPr>
          </w:p>
        </w:tc>
        <w:tc>
          <w:tcPr>
            <w:tcW w:w="4800" w:type="dxa"/>
            <w:shd w:val="clear" w:color="auto" w:fill="auto"/>
            <w:vAlign w:val="center"/>
          </w:tcPr>
          <w:p w14:paraId="7ADAB9FE">
            <w:pPr>
              <w:jc w:val="center"/>
              <w:rPr>
                <w:rFonts w:hint="default"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4"/>
                <w:szCs w:val="24"/>
                <w:u w:val="none"/>
                <w:lang w:val="en-US" w:eastAsia="zh-CN" w:bidi="ar"/>
                <w14:textFill>
                  <w14:solidFill>
                    <w14:schemeClr w14:val="tx1"/>
                  </w14:solidFill>
                </w14:textFill>
              </w:rPr>
              <w:t>图书检索机</w:t>
            </w:r>
          </w:p>
        </w:tc>
        <w:tc>
          <w:tcPr>
            <w:tcW w:w="2248" w:type="dxa"/>
            <w:shd w:val="clear" w:color="auto" w:fill="auto"/>
            <w:vAlign w:val="center"/>
          </w:tcPr>
          <w:p w14:paraId="7A432C5B">
            <w:pPr>
              <w:jc w:val="center"/>
              <w:rPr>
                <w:rFonts w:hint="default" w:ascii="Times New Roman" w:hAnsi="Times New Roman" w:eastAsia="宋体" w:cs="Times New Roman"/>
                <w:kern w:val="2"/>
                <w:sz w:val="24"/>
                <w:szCs w:val="24"/>
                <w:vertAlign w:val="baseline"/>
                <w:lang w:val="en-US" w:eastAsia="zh-CN" w:bidi="ar-SA"/>
              </w:rPr>
            </w:pPr>
            <w:r>
              <w:rPr>
                <w:rFonts w:hint="default" w:ascii="Times New Roman" w:hAnsi="Times New Roman" w:eastAsia="宋体" w:cs="Times New Roman"/>
                <w:sz w:val="24"/>
                <w:szCs w:val="24"/>
                <w:vertAlign w:val="baseline"/>
                <w:lang w:val="en-US" w:eastAsia="zh-CN"/>
              </w:rPr>
              <w:t>2台</w:t>
            </w:r>
          </w:p>
        </w:tc>
      </w:tr>
    </w:tbl>
    <w:p w14:paraId="5606A47B">
      <w:pPr>
        <w:numPr>
          <w:ilvl w:val="0"/>
          <w:numId w:val="6"/>
        </w:numPr>
        <w:spacing w:line="500" w:lineRule="exact"/>
        <w:jc w:val="both"/>
        <w:rPr>
          <w:rFonts w:hint="eastAsia" w:ascii="宋体" w:hAnsi="宋体" w:eastAsia="宋体" w:cs="宋体"/>
          <w:b/>
          <w:bCs/>
          <w:i w:val="0"/>
          <w:iCs w:val="0"/>
          <w:color w:val="auto"/>
          <w:sz w:val="24"/>
          <w:szCs w:val="24"/>
          <w:highlight w:val="none"/>
          <w:vertAlign w:val="baseline"/>
          <w:lang w:val="en-US" w:eastAsia="zh-CN" w:bidi="ar-SA"/>
        </w:rPr>
      </w:pPr>
      <w:r>
        <w:rPr>
          <w:rFonts w:hint="eastAsia" w:ascii="宋体" w:hAnsi="宋体" w:eastAsia="宋体" w:cs="宋体"/>
          <w:b/>
          <w:bCs/>
          <w:i w:val="0"/>
          <w:iCs w:val="0"/>
          <w:color w:val="auto"/>
          <w:sz w:val="24"/>
          <w:szCs w:val="24"/>
          <w:highlight w:val="none"/>
          <w:vertAlign w:val="baseline"/>
          <w:lang w:val="en-US" w:eastAsia="zh-CN" w:bidi="ar-SA"/>
        </w:rPr>
        <w:t>技术要求</w:t>
      </w:r>
    </w:p>
    <w:p w14:paraId="2FD2B4E2">
      <w:pPr>
        <w:numPr>
          <w:ilvl w:val="1"/>
          <w:numId w:val="6"/>
        </w:numPr>
        <w:spacing w:line="500" w:lineRule="exact"/>
        <w:jc w:val="both"/>
        <w:rPr>
          <w:rFonts w:hint="eastAsia" w:ascii="宋体" w:hAnsi="宋体" w:eastAsia="宋体" w:cs="宋体"/>
          <w:b w:val="0"/>
          <w:bCs w:val="0"/>
          <w:i w:val="0"/>
          <w:iCs w:val="0"/>
          <w:color w:val="auto"/>
          <w:sz w:val="24"/>
          <w:szCs w:val="24"/>
          <w:highlight w:val="none"/>
          <w:vertAlign w:val="baseline"/>
          <w:lang w:val="en-US" w:eastAsia="zh-CN" w:bidi="ar-SA"/>
        </w:rPr>
      </w:pPr>
      <w:r>
        <w:rPr>
          <w:rFonts w:hint="eastAsia" w:ascii="宋体" w:hAnsi="宋体" w:eastAsia="宋体" w:cs="宋体"/>
          <w:b w:val="0"/>
          <w:bCs w:val="0"/>
          <w:i w:val="0"/>
          <w:iCs w:val="0"/>
          <w:color w:val="auto"/>
          <w:sz w:val="24"/>
          <w:szCs w:val="24"/>
          <w:highlight w:val="none"/>
          <w:vertAlign w:val="baseline"/>
          <w:lang w:val="en-US" w:eastAsia="zh-CN" w:bidi="ar-SA"/>
        </w:rPr>
        <w:t>支持一校两校区，两校区费用包括在内；</w:t>
      </w:r>
    </w:p>
    <w:p w14:paraId="370B9E8D">
      <w:pPr>
        <w:numPr>
          <w:ilvl w:val="1"/>
          <w:numId w:val="6"/>
        </w:numPr>
        <w:spacing w:line="500" w:lineRule="exact"/>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第三方接入接出的费用包括在内</w:t>
      </w:r>
      <w:r>
        <w:rPr>
          <w:rFonts w:hint="eastAsia" w:ascii="宋体" w:hAnsi="宋体" w:eastAsia="宋体" w:cs="宋体"/>
          <w:b w:val="0"/>
          <w:bCs w:val="0"/>
          <w:i w:val="0"/>
          <w:iCs w:val="0"/>
          <w:color w:val="auto"/>
          <w:sz w:val="24"/>
          <w:szCs w:val="24"/>
          <w:highlight w:val="none"/>
          <w:vertAlign w:val="baseline"/>
          <w:lang w:val="en-US" w:eastAsia="zh-CN" w:bidi="ar-SA"/>
        </w:rPr>
        <w:t>。</w:t>
      </w:r>
    </w:p>
    <w:p w14:paraId="699F75C0">
      <w:pPr>
        <w:numPr>
          <w:ilvl w:val="1"/>
          <w:numId w:val="6"/>
        </w:numPr>
        <w:spacing w:line="500" w:lineRule="exact"/>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产品功能要求</w:t>
      </w:r>
    </w:p>
    <w:tbl>
      <w:tblPr>
        <w:tblStyle w:val="11"/>
        <w:tblW w:w="8522" w:type="dxa"/>
        <w:tblInd w:w="1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2"/>
        <w:gridCol w:w="1819"/>
        <w:gridCol w:w="5661"/>
      </w:tblGrid>
      <w:tr w14:paraId="0A0897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2" w:type="dxa"/>
            <w:tcBorders>
              <w:top w:val="single" w:color="auto" w:sz="4" w:space="0"/>
              <w:left w:val="single" w:color="auto" w:sz="4" w:space="0"/>
              <w:bottom w:val="single" w:color="auto" w:sz="4" w:space="0"/>
              <w:right w:val="single" w:color="auto" w:sz="4" w:space="0"/>
            </w:tcBorders>
            <w:noWrap w:val="0"/>
            <w:vAlign w:val="center"/>
          </w:tcPr>
          <w:p w14:paraId="4D10F1FA">
            <w:pPr>
              <w:numPr>
                <w:ilvl w:val="0"/>
                <w:numId w:val="0"/>
              </w:numPr>
              <w:spacing w:line="500" w:lineRule="exact"/>
              <w:ind w:leftChars="0"/>
              <w:jc w:val="both"/>
              <w:rPr>
                <w:rFonts w:hint="default" w:ascii="宋体" w:hAnsi="宋体" w:eastAsia="宋体" w:cs="宋体"/>
                <w:b/>
                <w:bCs/>
                <w:i w:val="0"/>
                <w:iCs w:val="0"/>
                <w:color w:val="auto"/>
                <w:sz w:val="24"/>
                <w:szCs w:val="24"/>
                <w:highlight w:val="none"/>
                <w:vertAlign w:val="baseline"/>
                <w:lang w:val="en-US" w:eastAsia="zh-CN" w:bidi="ar-SA"/>
              </w:rPr>
            </w:pPr>
            <w:r>
              <w:rPr>
                <w:rFonts w:hint="default" w:ascii="宋体" w:hAnsi="宋体" w:eastAsia="宋体" w:cs="宋体"/>
                <w:b/>
                <w:bCs/>
                <w:i w:val="0"/>
                <w:iCs w:val="0"/>
                <w:color w:val="auto"/>
                <w:sz w:val="24"/>
                <w:szCs w:val="24"/>
                <w:highlight w:val="none"/>
                <w:vertAlign w:val="baseline"/>
                <w:lang w:val="en-US" w:eastAsia="zh-CN" w:bidi="ar-SA"/>
              </w:rPr>
              <w:t>序号</w:t>
            </w:r>
          </w:p>
        </w:tc>
        <w:tc>
          <w:tcPr>
            <w:tcW w:w="1819" w:type="dxa"/>
            <w:tcBorders>
              <w:top w:val="single" w:color="auto" w:sz="4" w:space="0"/>
              <w:left w:val="single" w:color="auto" w:sz="4" w:space="0"/>
              <w:bottom w:val="single" w:color="auto" w:sz="4" w:space="0"/>
              <w:right w:val="single" w:color="auto" w:sz="4" w:space="0"/>
            </w:tcBorders>
            <w:noWrap w:val="0"/>
            <w:vAlign w:val="center"/>
          </w:tcPr>
          <w:p w14:paraId="152326AF">
            <w:pPr>
              <w:numPr>
                <w:ilvl w:val="0"/>
                <w:numId w:val="0"/>
              </w:numPr>
              <w:spacing w:line="500" w:lineRule="exact"/>
              <w:ind w:leftChars="0"/>
              <w:jc w:val="both"/>
              <w:rPr>
                <w:rFonts w:hint="default" w:ascii="宋体" w:hAnsi="宋体" w:eastAsia="宋体" w:cs="宋体"/>
                <w:b/>
                <w:bCs/>
                <w:i w:val="0"/>
                <w:iCs w:val="0"/>
                <w:color w:val="auto"/>
                <w:sz w:val="24"/>
                <w:szCs w:val="24"/>
                <w:highlight w:val="none"/>
                <w:vertAlign w:val="baseline"/>
                <w:lang w:val="en-US" w:eastAsia="zh-CN" w:bidi="ar-SA"/>
              </w:rPr>
            </w:pPr>
            <w:r>
              <w:rPr>
                <w:rFonts w:hint="default" w:ascii="宋体" w:hAnsi="宋体" w:eastAsia="宋体" w:cs="宋体"/>
                <w:b/>
                <w:bCs/>
                <w:i w:val="0"/>
                <w:iCs w:val="0"/>
                <w:color w:val="auto"/>
                <w:sz w:val="24"/>
                <w:szCs w:val="24"/>
                <w:highlight w:val="none"/>
                <w:vertAlign w:val="baseline"/>
                <w:lang w:val="en-US" w:eastAsia="zh-CN" w:bidi="ar-SA"/>
              </w:rPr>
              <w:t>系统功能模块</w:t>
            </w:r>
          </w:p>
        </w:tc>
        <w:tc>
          <w:tcPr>
            <w:tcW w:w="5661" w:type="dxa"/>
            <w:tcBorders>
              <w:top w:val="single" w:color="auto" w:sz="4" w:space="0"/>
              <w:left w:val="single" w:color="auto" w:sz="4" w:space="0"/>
              <w:bottom w:val="single" w:color="auto" w:sz="4" w:space="0"/>
              <w:right w:val="single" w:color="auto" w:sz="4" w:space="0"/>
            </w:tcBorders>
            <w:noWrap w:val="0"/>
            <w:vAlign w:val="center"/>
          </w:tcPr>
          <w:p w14:paraId="7BB3417A">
            <w:pPr>
              <w:numPr>
                <w:ilvl w:val="0"/>
                <w:numId w:val="0"/>
              </w:numPr>
              <w:spacing w:line="500" w:lineRule="exact"/>
              <w:ind w:leftChars="0"/>
              <w:jc w:val="both"/>
              <w:rPr>
                <w:rFonts w:hint="default" w:ascii="宋体" w:hAnsi="宋体" w:eastAsia="宋体" w:cs="宋体"/>
                <w:b/>
                <w:bCs/>
                <w:i w:val="0"/>
                <w:iCs w:val="0"/>
                <w:color w:val="auto"/>
                <w:sz w:val="24"/>
                <w:szCs w:val="24"/>
                <w:highlight w:val="none"/>
                <w:vertAlign w:val="baseline"/>
                <w:lang w:val="en-US" w:eastAsia="zh-CN" w:bidi="ar-SA"/>
              </w:rPr>
            </w:pPr>
            <w:r>
              <w:rPr>
                <w:rFonts w:hint="default" w:ascii="宋体" w:hAnsi="宋体" w:eastAsia="宋体" w:cs="宋体"/>
                <w:b/>
                <w:bCs/>
                <w:i w:val="0"/>
                <w:iCs w:val="0"/>
                <w:color w:val="auto"/>
                <w:sz w:val="24"/>
                <w:szCs w:val="24"/>
                <w:highlight w:val="none"/>
                <w:vertAlign w:val="baseline"/>
                <w:lang w:val="en-US" w:eastAsia="zh-CN" w:bidi="ar-SA"/>
              </w:rPr>
              <w:t>技术参数及要求</w:t>
            </w:r>
          </w:p>
        </w:tc>
      </w:tr>
      <w:tr w14:paraId="50689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2" w:type="dxa"/>
            <w:tcBorders>
              <w:top w:val="single" w:color="auto" w:sz="4" w:space="0"/>
              <w:left w:val="single" w:color="auto" w:sz="4" w:space="0"/>
              <w:bottom w:val="single" w:color="auto" w:sz="4" w:space="0"/>
              <w:right w:val="single" w:color="auto" w:sz="4" w:space="0"/>
            </w:tcBorders>
            <w:noWrap w:val="0"/>
            <w:vAlign w:val="center"/>
          </w:tcPr>
          <w:p w14:paraId="7D1B703E">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eastAsia" w:ascii="宋体" w:hAnsi="宋体" w:eastAsia="宋体" w:cs="宋体"/>
                <w:b w:val="0"/>
                <w:bCs w:val="0"/>
                <w:i w:val="0"/>
                <w:iCs w:val="0"/>
                <w:color w:val="auto"/>
                <w:sz w:val="24"/>
                <w:szCs w:val="24"/>
                <w:highlight w:val="none"/>
                <w:vertAlign w:val="baseline"/>
                <w:lang w:val="en-US" w:eastAsia="zh-CN" w:bidi="ar-SA"/>
              </w:rPr>
              <w:t>1</w:t>
            </w:r>
          </w:p>
        </w:tc>
        <w:tc>
          <w:tcPr>
            <w:tcW w:w="1819" w:type="dxa"/>
            <w:tcBorders>
              <w:top w:val="single" w:color="auto" w:sz="4" w:space="0"/>
              <w:left w:val="single" w:color="auto" w:sz="4" w:space="0"/>
              <w:bottom w:val="single" w:color="auto" w:sz="4" w:space="0"/>
              <w:right w:val="single" w:color="auto" w:sz="4" w:space="0"/>
            </w:tcBorders>
            <w:noWrap w:val="0"/>
            <w:vAlign w:val="center"/>
          </w:tcPr>
          <w:p w14:paraId="117A4657">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图书馆集群自动化管理系统（核心产品）</w:t>
            </w:r>
          </w:p>
          <w:p w14:paraId="67E92D25">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（1套）</w:t>
            </w:r>
          </w:p>
        </w:tc>
        <w:tc>
          <w:tcPr>
            <w:tcW w:w="5661" w:type="dxa"/>
            <w:tcBorders>
              <w:top w:val="single" w:color="auto" w:sz="4" w:space="0"/>
              <w:left w:val="single" w:color="auto" w:sz="4" w:space="0"/>
              <w:bottom w:val="single" w:color="auto" w:sz="4" w:space="0"/>
              <w:right w:val="single" w:color="auto" w:sz="4" w:space="0"/>
            </w:tcBorders>
            <w:noWrap w:val="0"/>
            <w:vAlign w:val="top"/>
          </w:tcPr>
          <w:p w14:paraId="6C7767F3">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1、系统管理</w:t>
            </w:r>
          </w:p>
          <w:p w14:paraId="263DF8E7">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1.1 采用B/S微服务架构，本地部署服务器，客户端计算机免安装相关程序，每个服务运行独立的进程，服务之间互相协调、配合，采用轻量级的通信机制，基于Https的RESTful API；</w:t>
            </w:r>
          </w:p>
          <w:p w14:paraId="419DC80B">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1.2 无缝对接第三方图书馆系统，同步用户数据，支持sip2，RESTful API等异构系统对接；</w:t>
            </w:r>
          </w:p>
          <w:p w14:paraId="5FD58711">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1.3 支持MySql、Oracle、SQLServer、达梦、SqlLite、国产化数据库等主流数据库。</w:t>
            </w:r>
          </w:p>
          <w:p w14:paraId="52968922">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1.4 支持自定义敏感数据脱敏处理，如：身份证号码、手机号码等。</w:t>
            </w:r>
          </w:p>
          <w:p w14:paraId="03FFE555">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 xml:space="preserve">1.5 数据安全：系统采用SSL传输加密、用户登录验证采用SSL+RSA非对称加密、数据库中用户隐私数据采用密文存储，保证数据安全；数据做好备份，能够快速恢复功能； </w:t>
            </w:r>
          </w:p>
          <w:p w14:paraId="1EEBE802">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1.6 接口扩展：要求对外提供标准的REST接口，方便第三方系统对接，同时可无缝对接校园一卡通，无须二次办证；</w:t>
            </w:r>
          </w:p>
          <w:p w14:paraId="1360AD82">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1.7 权限分级配置管理：支持管理员配置普通管理员、区域管理员、系统管理员、超级管理员角色，可以管理并设置不同角色权限范围，配置查看或使用平台各功能模块的权限；支持通过昵称、账号查询管理员信息，支持批量重置密码、删除角色人员；记录并管理人员信息包括：所属组织、名称、账号、邮箱、电话、状态；</w:t>
            </w:r>
          </w:p>
          <w:p w14:paraId="0475FB31">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2、书刊流通</w:t>
            </w:r>
          </w:p>
          <w:p w14:paraId="79A926D5">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2.1 书刊查询：提供馆藏地、层架信息、实时位置、条形码、标签、ISBN、关键词、出版社和分类号查询，查询结果分别以图书信息和馆藏信息显示，内容包括但不限于正题名、期号、年份、复本数、著者号、分类号、作者、价格、出版社、出版日期、正题名、条码号、标签号、索书号、所属馆藏地、馆藏位置、当前位置、批次号、入库时间和状态等；</w:t>
            </w:r>
          </w:p>
          <w:p w14:paraId="1EA20D8C">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2.2 书刊状态：提供包括但不限于在库、丢失、借出、预借、剔旧、污损、移除、售出、捐赠等状态查询，支持自定义添加状态；</w:t>
            </w:r>
          </w:p>
          <w:p w14:paraId="2BBA33A8">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2.3 借还管理：提供借阅、归还、续借、预借等操作，实时查看操作记录和书刊流通记录信息，支持导出记录到表格和一键清空操作记录的功能；</w:t>
            </w:r>
          </w:p>
          <w:p w14:paraId="280AE606">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2.4 预借管理：提供有效预借、无效预借和到期预借状态查询，查询结果以读者姓名、借阅证号、题名、图书条码、类型、馆藏地、预借时间、应还日期和状态等展示，支持导出当前和全部信息到表格的功能；</w:t>
            </w:r>
          </w:p>
          <w:p w14:paraId="70C36099">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2.5 图书剔旧：提供馆藏图书和剔旧记录查看，信息包含但不限于图书条码、图书标签、ISBN、正题名、第一责任者、出版社、批次号、馆藏地和状态等，支持批量剔旧和导入剔旧文件功能；</w:t>
            </w:r>
          </w:p>
          <w:p w14:paraId="223885FB">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2.6 超期管理：依据读者证号和图书条码快速查询，提供包括但不限于读者姓名、借阅证号、书名、图书条码、图书标签、ISBN、作者、借阅日期、应还日期、实际归还时间、罚款金额和状态的展示，检索结果支持导出到表格的功能；</w:t>
            </w:r>
          </w:p>
          <w:p w14:paraId="7BE0D1CE">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2.7 罚款管理：提供快速筛选查询功能，查询结果以借阅证号、读者姓名、未缴金额、罚款总额、罚款图书、罚款类型和是否缴费等多种类型展示，支持新增、删除和导出功能；</w:t>
            </w:r>
          </w:p>
          <w:p w14:paraId="182BA747">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2.8 催还管理：提供逾期清单，内容包括但不限于借阅证号、读者姓名、图书条码、图书标签、题名、ISBN、借阅日期、应还日期、还书时间、是否归还、借出设备和通知次数等，支持通过短信方式进行催还；</w:t>
            </w:r>
          </w:p>
          <w:p w14:paraId="39AB1FF4">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2.9 催还通知：提供催还记录，支持一键催还和删除记录的功能；</w:t>
            </w:r>
          </w:p>
          <w:p w14:paraId="592C50E4">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3、统计分析</w:t>
            </w:r>
          </w:p>
          <w:p w14:paraId="0B2D767B">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3.1 图书分类统计：根据中图法图书分类展示组织馆藏图书分类占比，为图书采购、运营提供数据参考支持；</w:t>
            </w:r>
          </w:p>
          <w:p w14:paraId="44E6C393">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3.2 分类借阅排行：支持查询指定时间段内读者借阅图书的分类排行，为图书采购、运营提供数据参考支持；</w:t>
            </w:r>
          </w:p>
          <w:p w14:paraId="0F162183">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3.3 读者借阅排行：支持查询指定时间段内读者借阅次数排行，为馆内读者活动运营提供数据支持；</w:t>
            </w:r>
          </w:p>
          <w:p w14:paraId="401C0375">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3.4 书刊借阅排行：支持查询指定时间段内读者借阅图书的排行，为图书采购、运营提供数据参考支持；</w:t>
            </w:r>
          </w:p>
          <w:p w14:paraId="0C7CB6CC">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3.5 部门借阅排行：支持查询指定时间段内部门借阅次数排行，为馆内读者活动运营提供数据支持；</w:t>
            </w:r>
          </w:p>
          <w:p w14:paraId="35BF1E97">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3.6 部门阅读走势：展示指定查询时间段内，组织下各部门的阅读人次趋势，用于了解馆内运营分析；</w:t>
            </w:r>
          </w:p>
          <w:p w14:paraId="447B469E">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3.7 流通数据统计：提供流通日志表、馆藏流通率、借阅利用率、读者借阅率、组织借阅对比分析报表；</w:t>
            </w:r>
          </w:p>
          <w:p w14:paraId="0852EA04">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3.8 馆藏数据统计：提供馆藏各分类图书数量、总价分布；历史批次图书入库统计，馆藏增长率、批次总册数、总价、分类图书数量；</w:t>
            </w:r>
          </w:p>
          <w:p w14:paraId="1E50041D">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3.9 书刊浏览统计：提供本年/月/周指定图书浏览次数查询、提供浏览统计排行版；</w:t>
            </w:r>
          </w:p>
          <w:p w14:paraId="6781DD59">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4、零售管理</w:t>
            </w:r>
          </w:p>
          <w:p w14:paraId="338703E4">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4.1 商品管理：支持格栅微图销售图书/商品的上下架管理，支持查询商品编码、商品名称，管理员可以自定义商品图片，管理商品名称、编码、原价、折扣、售价，变更商品上下架状态，修改或删除商品信息；</w:t>
            </w:r>
          </w:p>
          <w:p w14:paraId="46B3DB25">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4.2 购买记录：支持订单号和交易状态查询，提供商品图片、商品名称、商品编码等数据展示；</w:t>
            </w:r>
          </w:p>
          <w:p w14:paraId="5C1C88B0">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5、信息通知管理</w:t>
            </w:r>
          </w:p>
          <w:p w14:paraId="500721D0">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5.1 短信发送配置：提供用户注册、催还通知、用户登录、变更手机号码和修改密码多种配置类型，自编拟短信签名和短信模板等功能；</w:t>
            </w:r>
          </w:p>
          <w:p w14:paraId="4133D65B">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5.2 短信发送记录：提供手机号码、验证码、创建时间等信息记录，支持导出到表格功能；</w:t>
            </w:r>
          </w:p>
          <w:p w14:paraId="03AEC142">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5.3 短信通知任务：提供包含但不限于用户名、类型、消息通知、创建时间和更新时间等任务记录清单；</w:t>
            </w:r>
          </w:p>
          <w:p w14:paraId="53CD1AB3">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5.4 微信通知任务：提供包含但不限于用户名、类型、内容、备注消息通知、创建时间和更新时间等任务记录清单；</w:t>
            </w:r>
          </w:p>
          <w:p w14:paraId="6E1BF7FA">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6、读者管理</w:t>
            </w:r>
          </w:p>
          <w:p w14:paraId="64A88455">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6.1 读者管理：进行组织下注册读者的信息查询、新增、删除、重置密码管理，支持批量导入读者信息、批量导入人脸数据，支持批量修改读者基础信息；管理员可以通过注册人脸、绑定微信状态以及当前读者状态（注销、待审核、离校、无效、挂失、停用）来查询读者信息，读者信息包括姓名、读者证号、标签、身份证号、手机号、读者状态、人脸注册状态、微信绑定状态、创建时间、归属组织部门等；</w:t>
            </w:r>
          </w:p>
          <w:p w14:paraId="6175BF06">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 xml:space="preserve">6.2 ▲人脸识别管理：不依托第三方平台，自建人脸数据库，具有局域网环境下实现人脸识别功能；支持管理员单独或批量上传、读者自主上传、设备注册等获取人脸数据途径； </w:t>
            </w:r>
          </w:p>
          <w:p w14:paraId="7B4253AC">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6.3 借阅规则：支持管理员根据馆内实际运营情况自定义借阅规则，提供多样化规则包括：押金金额、最大借阅数量限制、借阅期限、允许预借数量、续借期限、超期罚款、丢失/损坏罚款、欠费限制借阅金额、超期天数借阅限制，支持同个组织下不同馆藏地分别设置规则；支持查询、删除规则；</w:t>
            </w:r>
          </w:p>
          <w:p w14:paraId="7C75FB5D">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6.4 读者状态：用于管理读者在注销、待审核、离校、无效、挂失、停用、有效状态下能否允许正常使用图书借阅等服务，支持对状态进行单独的权限开放管理；</w:t>
            </w:r>
          </w:p>
          <w:p w14:paraId="4548F131">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6.5 读者退款</w:t>
            </w:r>
          </w:p>
          <w:p w14:paraId="5C1ECD39">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6.5.1 提供管理员查询指定日期范围内的退款记录，支持通过读者证号、订单号进行查询，支持批量导出退款记录；</w:t>
            </w:r>
          </w:p>
          <w:p w14:paraId="6284D42D">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6.5.2 退款记录包括：借阅证号、订单号、退款类型、退款方式、交易时间、退款金额，并且提供退款状态；</w:t>
            </w:r>
          </w:p>
          <w:p w14:paraId="7D5C0614">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6.5.3 支持管理员变更读者的退款状态，用于现场退现金；</w:t>
            </w:r>
          </w:p>
          <w:p w14:paraId="77B47DB9">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7、办证记录</w:t>
            </w:r>
          </w:p>
          <w:p w14:paraId="15C93B12">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7.1 提供管理员查询指定日期范围内的办证记录，支持通过读者姓名、读者证号、读者标签、设备码进行查询；</w:t>
            </w:r>
          </w:p>
          <w:p w14:paraId="0C882F11">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7.2 办证信息包括：办证设备码、读者证号、读者姓名、读者标签、押金、创建时间、办证状态（成功/失败、失败原因）；</w:t>
            </w:r>
          </w:p>
          <w:p w14:paraId="4B23283F">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7.3 办证配置：支持管理员定义办证规则，限制注册时读者必须填写的信息，包含：身份证号、手机号、短信校验等；</w:t>
            </w:r>
          </w:p>
          <w:p w14:paraId="5ABBD578">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8、证件打印：支持管理员添加读者信息到打印列表，进行读者信息与证件号的批量打印；</w:t>
            </w:r>
          </w:p>
          <w:p w14:paraId="6117AD9C">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9、消息通知</w:t>
            </w:r>
          </w:p>
          <w:p w14:paraId="4A43FBFA">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9.1 读者借书和还书成功后，系统可自动发送微信消息通知读者；</w:t>
            </w:r>
          </w:p>
          <w:p w14:paraId="7E3CF9B1">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9.2 对于即将逾期的图书，系统可自动发送微信消息提醒读者归还，管理员可自由设定系统推送时间和频次；</w:t>
            </w:r>
          </w:p>
          <w:p w14:paraId="51992360">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10、典藏管理</w:t>
            </w:r>
            <w:r>
              <w:rPr>
                <w:rFonts w:hint="default" w:ascii="宋体" w:hAnsi="宋体" w:eastAsia="宋体" w:cs="宋体"/>
                <w:b w:val="0"/>
                <w:bCs w:val="0"/>
                <w:i w:val="0"/>
                <w:iCs w:val="0"/>
                <w:color w:val="auto"/>
                <w:sz w:val="24"/>
                <w:szCs w:val="24"/>
                <w:highlight w:val="none"/>
                <w:vertAlign w:val="baseline"/>
                <w:lang w:val="en-US" w:eastAsia="zh-CN" w:bidi="ar-SA"/>
              </w:rPr>
              <w:br w:type="textWrapping"/>
            </w:r>
            <w:r>
              <w:rPr>
                <w:rFonts w:hint="default" w:ascii="宋体" w:hAnsi="宋体" w:eastAsia="宋体" w:cs="宋体"/>
                <w:b w:val="0"/>
                <w:bCs w:val="0"/>
                <w:i w:val="0"/>
                <w:iCs w:val="0"/>
                <w:color w:val="auto"/>
                <w:sz w:val="24"/>
                <w:szCs w:val="24"/>
                <w:highlight w:val="none"/>
                <w:vertAlign w:val="baseline"/>
                <w:lang w:val="en-US" w:eastAsia="zh-CN" w:bidi="ar-SA"/>
              </w:rPr>
              <w:t>10.1 准确定位文献的典藏位置，进行馆藏的登记、变更、剔除、调拨、清点、状态修改等工作，可生成多种格式文件的报表。</w:t>
            </w:r>
            <w:r>
              <w:rPr>
                <w:rFonts w:hint="default" w:ascii="宋体" w:hAnsi="宋体" w:eastAsia="宋体" w:cs="宋体"/>
                <w:b w:val="0"/>
                <w:bCs w:val="0"/>
                <w:i w:val="0"/>
                <w:iCs w:val="0"/>
                <w:color w:val="auto"/>
                <w:sz w:val="24"/>
                <w:szCs w:val="24"/>
                <w:highlight w:val="none"/>
                <w:vertAlign w:val="baseline"/>
                <w:lang w:val="en-US" w:eastAsia="zh-CN" w:bidi="ar-SA"/>
              </w:rPr>
              <w:br w:type="textWrapping"/>
            </w:r>
            <w:r>
              <w:rPr>
                <w:rFonts w:hint="default" w:ascii="宋体" w:hAnsi="宋体" w:eastAsia="宋体" w:cs="宋体"/>
                <w:b w:val="0"/>
                <w:bCs w:val="0"/>
                <w:i w:val="0"/>
                <w:iCs w:val="0"/>
                <w:color w:val="auto"/>
                <w:sz w:val="24"/>
                <w:szCs w:val="24"/>
                <w:highlight w:val="none"/>
                <w:vertAlign w:val="baseline"/>
                <w:lang w:val="en-US" w:eastAsia="zh-CN" w:bidi="ar-SA"/>
              </w:rPr>
              <w:t>10.2 具有批量调拨、清点、入藏登记功能；支持馆际间图书调拨与批量调拨，可根据实际情况选择是否改变资产所属馆。</w:t>
            </w:r>
            <w:r>
              <w:rPr>
                <w:rFonts w:hint="default" w:ascii="宋体" w:hAnsi="宋体" w:eastAsia="宋体" w:cs="宋体"/>
                <w:b w:val="0"/>
                <w:bCs w:val="0"/>
                <w:i w:val="0"/>
                <w:iCs w:val="0"/>
                <w:color w:val="auto"/>
                <w:sz w:val="24"/>
                <w:szCs w:val="24"/>
                <w:highlight w:val="none"/>
                <w:vertAlign w:val="baseline"/>
                <w:lang w:val="en-US" w:eastAsia="zh-CN" w:bidi="ar-SA"/>
              </w:rPr>
              <w:br w:type="textWrapping"/>
            </w:r>
            <w:r>
              <w:rPr>
                <w:rFonts w:hint="default" w:ascii="宋体" w:hAnsi="宋体" w:eastAsia="宋体" w:cs="宋体"/>
                <w:b w:val="0"/>
                <w:bCs w:val="0"/>
                <w:i w:val="0"/>
                <w:iCs w:val="0"/>
                <w:color w:val="auto"/>
                <w:sz w:val="24"/>
                <w:szCs w:val="24"/>
                <w:highlight w:val="none"/>
                <w:vertAlign w:val="baseline"/>
                <w:lang w:val="en-US" w:eastAsia="zh-CN" w:bidi="ar-SA"/>
              </w:rPr>
              <w:t>10.3 具有批量修改馆藏信息的功能。</w:t>
            </w:r>
            <w:r>
              <w:rPr>
                <w:rFonts w:hint="default" w:ascii="宋体" w:hAnsi="宋体" w:eastAsia="宋体" w:cs="宋体"/>
                <w:b w:val="0"/>
                <w:bCs w:val="0"/>
                <w:i w:val="0"/>
                <w:iCs w:val="0"/>
                <w:color w:val="auto"/>
                <w:sz w:val="24"/>
                <w:szCs w:val="24"/>
                <w:highlight w:val="none"/>
                <w:vertAlign w:val="baseline"/>
                <w:lang w:val="en-US" w:eastAsia="zh-CN" w:bidi="ar-SA"/>
              </w:rPr>
              <w:br w:type="textWrapping"/>
            </w:r>
            <w:r>
              <w:rPr>
                <w:rFonts w:hint="default" w:ascii="宋体" w:hAnsi="宋体" w:eastAsia="宋体" w:cs="宋体"/>
                <w:b w:val="0"/>
                <w:bCs w:val="0"/>
                <w:i w:val="0"/>
                <w:iCs w:val="0"/>
                <w:color w:val="auto"/>
                <w:sz w:val="24"/>
                <w:szCs w:val="24"/>
                <w:highlight w:val="none"/>
                <w:vertAlign w:val="baseline"/>
                <w:lang w:val="en-US" w:eastAsia="zh-CN" w:bidi="ar-SA"/>
              </w:rPr>
              <w:t>10.4 具备执行快速、组合灵活的准确统计馆藏量及书目相关信息（馆藏地点等）。</w:t>
            </w:r>
            <w:r>
              <w:rPr>
                <w:rFonts w:hint="default" w:ascii="宋体" w:hAnsi="宋体" w:eastAsia="宋体" w:cs="宋体"/>
                <w:b w:val="0"/>
                <w:bCs w:val="0"/>
                <w:i w:val="0"/>
                <w:iCs w:val="0"/>
                <w:color w:val="auto"/>
                <w:sz w:val="24"/>
                <w:szCs w:val="24"/>
                <w:highlight w:val="none"/>
                <w:vertAlign w:val="baseline"/>
                <w:lang w:val="en-US" w:eastAsia="zh-CN" w:bidi="ar-SA"/>
              </w:rPr>
              <w:br w:type="textWrapping"/>
            </w:r>
            <w:r>
              <w:rPr>
                <w:rFonts w:hint="default" w:ascii="宋体" w:hAnsi="宋体" w:eastAsia="宋体" w:cs="宋体"/>
                <w:b w:val="0"/>
                <w:bCs w:val="0"/>
                <w:i w:val="0"/>
                <w:iCs w:val="0"/>
                <w:color w:val="auto"/>
                <w:sz w:val="24"/>
                <w:szCs w:val="24"/>
                <w:highlight w:val="none"/>
                <w:vertAlign w:val="baseline"/>
                <w:lang w:val="en-US" w:eastAsia="zh-CN" w:bidi="ar-SA"/>
              </w:rPr>
              <w:t>10.5 具备架位号管理功能，能够实现单本、批量架位号处理，并能够设置如馆藏状态、馆藏地点、架位长度等限制条件。</w:t>
            </w:r>
            <w:r>
              <w:rPr>
                <w:rFonts w:hint="default" w:ascii="宋体" w:hAnsi="宋体" w:eastAsia="宋体" w:cs="宋体"/>
                <w:b w:val="0"/>
                <w:bCs w:val="0"/>
                <w:i w:val="0"/>
                <w:iCs w:val="0"/>
                <w:color w:val="auto"/>
                <w:sz w:val="24"/>
                <w:szCs w:val="24"/>
                <w:highlight w:val="none"/>
                <w:vertAlign w:val="baseline"/>
                <w:lang w:val="en-US" w:eastAsia="zh-CN" w:bidi="ar-SA"/>
              </w:rPr>
              <w:br w:type="textWrapping"/>
            </w:r>
            <w:r>
              <w:rPr>
                <w:rFonts w:hint="default" w:ascii="宋体" w:hAnsi="宋体" w:eastAsia="宋体" w:cs="宋体"/>
                <w:b w:val="0"/>
                <w:bCs w:val="0"/>
                <w:i w:val="0"/>
                <w:iCs w:val="0"/>
                <w:color w:val="auto"/>
                <w:sz w:val="24"/>
                <w:szCs w:val="24"/>
                <w:highlight w:val="none"/>
                <w:vertAlign w:val="baseline"/>
                <w:lang w:val="en-US" w:eastAsia="zh-CN" w:bidi="ar-SA"/>
              </w:rPr>
              <w:t>10.6 支持图书上架流水号管理功能，给馆藏按顺序分配流水号，并将流水号信息打印到书标中方便查询。</w:t>
            </w:r>
          </w:p>
          <w:p w14:paraId="04955FD9">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11、荐购管理</w:t>
            </w:r>
          </w:p>
          <w:p w14:paraId="2BBC476A">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11.1 读者检索不到图书时可推荐购买。</w:t>
            </w:r>
          </w:p>
          <w:p w14:paraId="67F4B259">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11.2 支持通过ISBN、书名等关键信息自动从第三方书目数据库拉取完整的书目信息，减少手动输入。</w:t>
            </w:r>
          </w:p>
          <w:p w14:paraId="218611B6">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11.3 读者提供表单，需填写题名、作者、ISBN、出版社、出版年、荐购理由等。</w:t>
            </w:r>
          </w:p>
          <w:p w14:paraId="79FEAB28">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11.4 馆员拥有后台管理界面，可集中查看、筛选、批量处理“待审核”的荐购请求。</w:t>
            </w:r>
          </w:p>
          <w:p w14:paraId="1BE0BD2E">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11.5 批准的荐购自动生成待采购清单，并可导出为标准格式，方便向书商发订。</w:t>
            </w:r>
          </w:p>
          <w:p w14:paraId="41E36062">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12、设备管理</w:t>
            </w:r>
          </w:p>
          <w:p w14:paraId="0101FF4F">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12.1 设备列表</w:t>
            </w:r>
          </w:p>
          <w:p w14:paraId="2EBBFCA9">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12.1.1 查询：支持通过设备种类、状态、设备名、设备码进行快捷查询设备信息，包括：设备名、设备码、归属组织单位、种类、型号、设备位置、应用版本、当前设备状态等；</w:t>
            </w:r>
          </w:p>
          <w:p w14:paraId="78FA1ACC">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12.1.2 设备配置与扩展信息管理：提供设备日志管理、故障记录、异常报告、个性化信息、图书分布统计、重置密码等功能的查询与自主配置；</w:t>
            </w:r>
          </w:p>
          <w:p w14:paraId="71CCB685">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12.1.3 设备运营数据：查询今日登录次数、今日借阅次数、今日还书次数；</w:t>
            </w:r>
          </w:p>
          <w:p w14:paraId="6CA4C4F7">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12.2 添加设备：配置设备端服务器地址后，管理员可以将设备添加到所属组织列表；</w:t>
            </w:r>
          </w:p>
          <w:p w14:paraId="0928575C">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12.3 软件升级：支持对设备的应用软件、固件进行升/降级更新；</w:t>
            </w:r>
          </w:p>
          <w:p w14:paraId="280101A4">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12.4 安装包：提供组织下设备的安装包版本，支持上传、查询、删除、下载、修改信息操作；</w:t>
            </w:r>
          </w:p>
          <w:p w14:paraId="4CF64292">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12.5 固件资源：支持自定义时间段查询上传、删除固件安装包；</w:t>
            </w:r>
          </w:p>
          <w:p w14:paraId="03780933">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12.6 图片管理：支持管理员上传组织的logo、屏保、屏保视频、轮播图，进行馆内的个性化品牌宣传；支持管理员审核图片是否合规、变更审核状态，支持删除、下载操作；</w:t>
            </w:r>
          </w:p>
          <w:p w14:paraId="6D11484D">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12.7 设备使用数据：支持管理员查询设备在线时长、登录次数、借书次数、还书次数、在架图书量，支持一键导出；支持查询指定设备或组织下所有设备，支持自定义时间段查询；</w:t>
            </w:r>
          </w:p>
          <w:p w14:paraId="07D0BD6E">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12.8 主机列表（主机监控），安卓设备后台安装APP，远程升级、重启主机系统，监测设备状态，包括但不限于设备码、主机型号、创建时间、最后一次连接时间、当前状态等；</w:t>
            </w:r>
          </w:p>
          <w:p w14:paraId="7CD34AEE">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13、采购管理</w:t>
            </w:r>
          </w:p>
          <w:p w14:paraId="3FEC6392">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13.1 采购批次：新增、删除采购批次信息，包括：批次号、供应商、创建时间；</w:t>
            </w:r>
          </w:p>
          <w:p w14:paraId="35B91612">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13.2 采购目录</w:t>
            </w:r>
          </w:p>
          <w:p w14:paraId="3620FC5D">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13.2.1 支持自定义时间段查询采购目录、通过供应商名称检索查询采购目录、通过ISBN/书名查询图书所在目录；</w:t>
            </w:r>
          </w:p>
          <w:p w14:paraId="11271EA8">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13.2.2 管理员根据需要添加图书并生成待采清单，支持一键导出清单，清单包括：批次号、供应商、ISBN、书名、作者、出版社、单价、折扣、实价、数量；支持删除、清空采购清单；</w:t>
            </w:r>
          </w:p>
          <w:p w14:paraId="500C1536">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14、供应商管理</w:t>
            </w:r>
          </w:p>
          <w:p w14:paraId="7F5D1C98">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14.1 管理员：可以由管理员创建、配置组织合作的公司/机构/出版社等供应商角色账号，进行添加、删除、重置密码操作，支持按账号昵称、账号检索；</w:t>
            </w:r>
          </w:p>
          <w:p w14:paraId="42814E21">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14.2 公司/机构/出版社供应商信息管理：名称、电话、账户、开户行、地址、邮箱；支持按供应商名称查询、删除，或新增新供应商；</w:t>
            </w:r>
          </w:p>
          <w:p w14:paraId="4A21F426">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15、资讯管理</w:t>
            </w:r>
          </w:p>
          <w:p w14:paraId="2A9D08F0">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15.1 馆藏概述：自主编辑本馆介绍、读者须知文本内容，并推送到读者端便于读者浏览；支持新增、删除、查询；</w:t>
            </w:r>
          </w:p>
          <w:p w14:paraId="366D6059">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15.2 新闻与通知：新增、编辑、删除新闻/通知/活动消息文本，并推送到读者端便于读者知悉；</w:t>
            </w:r>
          </w:p>
          <w:p w14:paraId="21CC88B7">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15.3 友情链接：提供馆内运营使用，支持添加、删除图书馆网站的友情链接；</w:t>
            </w:r>
          </w:p>
          <w:p w14:paraId="4ACF5620">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16、门禁管理：支持新增、删除设备设备信息，包括：设备名称、设备ID、创建者、创建时间、更新时间、APPID、APPCode等；支持查询指定时间段、指定用户、指定状态的设备运行记录，包括：设备ID、签到人员、读者证号、签到时间、门禁动作，支持删除记录、一键导出记录列表；</w:t>
            </w:r>
          </w:p>
          <w:p w14:paraId="16EC14B5">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17、系统管理</w:t>
            </w:r>
          </w:p>
          <w:p w14:paraId="7D8F0868">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 xml:space="preserve">17.1 多级管理：管理平台采用多级分层管理，以组织/单位为顶层，以部门为最小管理单元，形成可实现多种应用需求的系统集成平台； </w:t>
            </w:r>
          </w:p>
          <w:p w14:paraId="55370AC5">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17.2 组织管理：提供包括但不限于组织名称、机构代码、所在地、后台管理主页、门户主页、UUID、创建时间和到期时间的管理，可通过组织名称和所在地信息进行模糊搜索，快速进行新增、删除和续费等编辑操作；</w:t>
            </w:r>
          </w:p>
          <w:p w14:paraId="6022082A">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17.3 部门管理：支持快速添加一级部门、新增部门、查看读者和部门信息编辑操作，可自由选择入学年份，系统默认部门按序号从小到大进行排序；</w:t>
            </w:r>
          </w:p>
          <w:p w14:paraId="55359910">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17.4 组织申请：提供组织名称、所在地、创建者、创建时间、状态、审核人、管理员信息查看，支持新增和编辑组织申请功能；</w:t>
            </w:r>
          </w:p>
          <w:p w14:paraId="13943449">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17.5 Sip2管理：提供账号、密码、机构代码、当前位置、馆藏地代码、Vendor Profile等信息查看，新增Sip2配置的功能；</w:t>
            </w:r>
          </w:p>
          <w:p w14:paraId="0EC1B8E4">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17.6 微信小程序配置：提供Appid、App Secret、创建时间、创建者、更新时间等信息查看，新增和删除微信小程序配置的功能；</w:t>
            </w:r>
          </w:p>
          <w:p w14:paraId="4DB89997">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17.7 钉钉配置：提供组织单位、名称、Agentid、AppKey、App Secret、Corpid、Sso Secret、创建时间、更新时间等信息查看，新增和删除钉钉读者配置的功能；</w:t>
            </w:r>
          </w:p>
          <w:p w14:paraId="38F9F562">
            <w:pPr>
              <w:spacing w:line="500" w:lineRule="exact"/>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17.8 系统支持：为满足安全保障，确保自主可控，须支持国产化运行系统（如麒麟、鸿蒙等）</w:t>
            </w:r>
          </w:p>
          <w:p w14:paraId="026325F6">
            <w:pPr>
              <w:spacing w:line="500" w:lineRule="exact"/>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eastAsia" w:ascii="宋体" w:hAnsi="宋体" w:eastAsia="宋体" w:cs="宋体"/>
                <w:b w:val="0"/>
                <w:bCs w:val="0"/>
                <w:i w:val="0"/>
                <w:iCs w:val="0"/>
                <w:color w:val="auto"/>
                <w:sz w:val="24"/>
                <w:szCs w:val="24"/>
                <w:highlight w:val="none"/>
                <w:vertAlign w:val="baseline"/>
                <w:lang w:val="en-US" w:eastAsia="zh-CN" w:bidi="ar-SA"/>
              </w:rPr>
              <w:t xml:space="preserve">18 </w:t>
            </w:r>
            <w:r>
              <w:rPr>
                <w:rFonts w:hint="default" w:ascii="宋体" w:hAnsi="宋体" w:eastAsia="宋体" w:cs="宋体"/>
                <w:b w:val="0"/>
                <w:bCs w:val="0"/>
                <w:i w:val="0"/>
                <w:iCs w:val="0"/>
                <w:color w:val="auto"/>
                <w:sz w:val="24"/>
                <w:szCs w:val="24"/>
                <w:highlight w:val="none"/>
                <w:vertAlign w:val="baseline"/>
                <w:lang w:val="en-US" w:eastAsia="zh-CN" w:bidi="ar-SA"/>
              </w:rPr>
              <w:t>▲</w:t>
            </w:r>
            <w:r>
              <w:rPr>
                <w:rFonts w:hint="eastAsia" w:ascii="宋体" w:hAnsi="宋体" w:eastAsia="宋体" w:cs="宋体"/>
                <w:b w:val="0"/>
                <w:bCs w:val="0"/>
                <w:i w:val="0"/>
                <w:iCs w:val="0"/>
                <w:color w:val="auto"/>
                <w:sz w:val="24"/>
                <w:szCs w:val="24"/>
                <w:highlight w:val="none"/>
                <w:vertAlign w:val="baseline"/>
                <w:lang w:val="en-US" w:eastAsia="zh-CN" w:bidi="ar-SA"/>
              </w:rPr>
              <w:t>读者画像：可对接AI大模型，通过对读者的阅读记录进行分析，为读者建立阅读画像，可对读者的个人阅读行为和阅读偏好进行全面描绘，帮助读者清晰地了解自己的阅读现状，包括阅读的内容、类型、频率等方面，从而优化阅读策略，提高阅读效果。</w:t>
            </w:r>
          </w:p>
        </w:tc>
      </w:tr>
      <w:tr w14:paraId="25BA9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42" w:type="dxa"/>
            <w:tcBorders>
              <w:top w:val="single" w:color="auto" w:sz="4" w:space="0"/>
              <w:left w:val="single" w:color="auto" w:sz="4" w:space="0"/>
              <w:bottom w:val="single" w:color="auto" w:sz="4" w:space="0"/>
              <w:right w:val="single" w:color="auto" w:sz="4" w:space="0"/>
            </w:tcBorders>
            <w:noWrap w:val="0"/>
            <w:vAlign w:val="center"/>
          </w:tcPr>
          <w:p w14:paraId="0E02A27E">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eastAsia" w:ascii="宋体" w:hAnsi="宋体" w:eastAsia="宋体" w:cs="宋体"/>
                <w:b w:val="0"/>
                <w:bCs w:val="0"/>
                <w:i w:val="0"/>
                <w:iCs w:val="0"/>
                <w:color w:val="auto"/>
                <w:sz w:val="24"/>
                <w:szCs w:val="24"/>
                <w:highlight w:val="none"/>
                <w:vertAlign w:val="baseline"/>
                <w:lang w:val="en-US" w:eastAsia="zh-CN" w:bidi="ar-SA"/>
              </w:rPr>
              <w:t>2</w:t>
            </w:r>
          </w:p>
        </w:tc>
        <w:tc>
          <w:tcPr>
            <w:tcW w:w="1819" w:type="dxa"/>
            <w:tcBorders>
              <w:top w:val="single" w:color="auto" w:sz="4" w:space="0"/>
              <w:left w:val="single" w:color="auto" w:sz="4" w:space="0"/>
              <w:bottom w:val="single" w:color="auto" w:sz="4" w:space="0"/>
              <w:right w:val="single" w:color="auto" w:sz="4" w:space="0"/>
            </w:tcBorders>
            <w:noWrap w:val="0"/>
            <w:vAlign w:val="center"/>
          </w:tcPr>
          <w:p w14:paraId="6F1DC8F3">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 xml:space="preserve">移动端服务大厅（1套）  </w:t>
            </w:r>
          </w:p>
        </w:tc>
        <w:tc>
          <w:tcPr>
            <w:tcW w:w="5661" w:type="dxa"/>
            <w:tcBorders>
              <w:top w:val="single" w:color="auto" w:sz="4" w:space="0"/>
              <w:left w:val="single" w:color="auto" w:sz="4" w:space="0"/>
              <w:bottom w:val="single" w:color="auto" w:sz="4" w:space="0"/>
              <w:right w:val="single" w:color="auto" w:sz="4" w:space="0"/>
            </w:tcBorders>
            <w:noWrap w:val="0"/>
            <w:vAlign w:val="top"/>
          </w:tcPr>
          <w:p w14:paraId="5B78F45D">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搭建图书馆微信服务大厅，支持第三方应用提供标准接口接入到微信服务大厅中，读者利用微信平台可获取读者认证、图书检索、图书续借等服务。</w:t>
            </w:r>
            <w:r>
              <w:rPr>
                <w:rFonts w:hint="default" w:ascii="宋体" w:hAnsi="宋体" w:eastAsia="宋体" w:cs="宋体"/>
                <w:b w:val="0"/>
                <w:bCs w:val="0"/>
                <w:i w:val="0"/>
                <w:iCs w:val="0"/>
                <w:color w:val="auto"/>
                <w:sz w:val="24"/>
                <w:szCs w:val="24"/>
                <w:highlight w:val="none"/>
                <w:vertAlign w:val="baseline"/>
                <w:lang w:val="en-US" w:eastAsia="zh-CN" w:bidi="ar-SA"/>
              </w:rPr>
              <w:br w:type="textWrapping"/>
            </w:r>
            <w:r>
              <w:rPr>
                <w:rFonts w:hint="default" w:ascii="宋体" w:hAnsi="宋体" w:eastAsia="宋体" w:cs="宋体"/>
                <w:b w:val="0"/>
                <w:bCs w:val="0"/>
                <w:i w:val="0"/>
                <w:iCs w:val="0"/>
                <w:color w:val="auto"/>
                <w:sz w:val="24"/>
                <w:szCs w:val="24"/>
                <w:highlight w:val="none"/>
                <w:vertAlign w:val="baseline"/>
                <w:lang w:val="en-US" w:eastAsia="zh-CN" w:bidi="ar-SA"/>
              </w:rPr>
              <w:t>管理员功能：</w:t>
            </w:r>
          </w:p>
          <w:p w14:paraId="3D7F67C7">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1、免下载、免安装，访问微信小程序可直接在手机端对图书馆事务进行管理操作；提供简易操作模式，便于管理员随时随地开展管理；</w:t>
            </w:r>
          </w:p>
          <w:p w14:paraId="2EA685A2">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2、流通管理</w:t>
            </w:r>
          </w:p>
          <w:p w14:paraId="5FE21872">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2.1 书刊流通：支持书刊查询、借还管理、预借管理、图书剔旧、超期管理、罚款管理、催还管理、催还通知；</w:t>
            </w:r>
          </w:p>
          <w:p w14:paraId="0AAA8755">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2.2 编目管理：支持图书编目、书号管理、批次管理、分类辅助、期刊征订；</w:t>
            </w:r>
          </w:p>
          <w:p w14:paraId="07F089AE">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2.3 馆藏管理：支持支持馆藏地管理、层架管理；</w:t>
            </w:r>
          </w:p>
          <w:p w14:paraId="3FE8ED6B">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2.4 征订管理：支持图书征订、图书退订、供应商管理；</w:t>
            </w:r>
          </w:p>
          <w:p w14:paraId="4083E7D2">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2.5 推荐管理：支持阅读推荐、购书推荐；</w:t>
            </w:r>
          </w:p>
          <w:p w14:paraId="3862DB0F">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3、读者管理</w:t>
            </w:r>
          </w:p>
          <w:p w14:paraId="3D601534">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3.1 读者管理：读者信息、读者状态查询；</w:t>
            </w:r>
          </w:p>
          <w:p w14:paraId="6E071AE4">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3.2 借阅规则：借阅规则查询与管理；</w:t>
            </w:r>
          </w:p>
          <w:p w14:paraId="092DA1C1">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3.3 读者状态：状态变更、状态删除、新增规则；</w:t>
            </w:r>
          </w:p>
          <w:p w14:paraId="2D2FAEAB">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3.4 办证记录：办证记录查询；</w:t>
            </w:r>
          </w:p>
          <w:p w14:paraId="2FB3A408">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4、设备管理</w:t>
            </w:r>
          </w:p>
          <w:p w14:paraId="6CE569AC">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4.1 设备列表：查询设备的设备名、设备码、归属组织单位、种类、型号、设备位置、应用版本、当前设备状态等；设备使用数据：支持管理员查询设备在线时长、登录次数、借书次数、还书次数</w:t>
            </w:r>
          </w:p>
          <w:p w14:paraId="05DB5B8C">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4.2 设备控制：远程手机端控制设备关机、重启、定时开机、盘点、灯带开关、设备密码重置等；</w:t>
            </w:r>
          </w:p>
          <w:p w14:paraId="75FD1701">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4.3 APK安装包：提供组织下设备的安装包版本，支持删除操作；</w:t>
            </w:r>
          </w:p>
          <w:p w14:paraId="73769E4C">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4.4 固件资源：支持询、删除固件安装包；</w:t>
            </w:r>
          </w:p>
          <w:p w14:paraId="0F83EA31">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5、资讯管理</w:t>
            </w:r>
          </w:p>
          <w:p w14:paraId="21206432">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5.1 馆藏概述：自主编辑本馆介绍、读者须知文本内容，并推送到读者端便于读者浏览；支持新增、删除、查询；</w:t>
            </w:r>
          </w:p>
          <w:p w14:paraId="121DD622">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5.2 新闻与通知：新增、编辑、删除新闻/通知/活动消息文本，并推送到读者端便于读者知悉；</w:t>
            </w:r>
          </w:p>
          <w:p w14:paraId="065737AA">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5.3 友情链接：提供馆内运营使用，支持添加、删除图书馆网站的友情链接；</w:t>
            </w:r>
          </w:p>
          <w:p w14:paraId="0521CC1D">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6、系统管理</w:t>
            </w:r>
          </w:p>
          <w:p w14:paraId="5C75F1E3">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6.1 组织管理：支持申请组织和查看组织信息，支持新增配置sip2对接信息；</w:t>
            </w:r>
          </w:p>
          <w:p w14:paraId="59F81781">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6.2 用户管理：支持申请管理员账号和查看管理员信息；</w:t>
            </w:r>
          </w:p>
          <w:p w14:paraId="600FC9B5">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6.3 日志管理：支持查看管理员的操作记录，可根据操作类别查询，包括用户登录、用户注销、借还、续借、预借、取消预借等；</w:t>
            </w:r>
          </w:p>
          <w:p w14:paraId="203A3690">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6.4 财务：可以查看组织的财务状况，包括缴纳押金、缴交罚款、购买图书金额、办证手续费、押金退款等，可通过读者证号、订单号、支付方式（微信、支付宝、现金、建行网银）等检索，可以进行退款操作（付款账号支持原路返回）。</w:t>
            </w:r>
          </w:p>
          <w:p w14:paraId="6EAA713F">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读者功能：</w:t>
            </w:r>
          </w:p>
          <w:p w14:paraId="64697E74">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1、免下载、免安装，访问微信小程序可直接在手机端对读者图书馆事务进行管理操作；提供简易操作模式，便于读者随时随地进行使用访问、查询、管理个人借阅信息、处理罚款等操作；</w:t>
            </w:r>
          </w:p>
          <w:p w14:paraId="3218373A">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2、个人中心</w:t>
            </w:r>
          </w:p>
          <w:p w14:paraId="10CA06B5">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2.1 读者信息：读者个人信息展示与管理，展示读者积分、等级、昵称、组织信息等；支持读者自定义头像、修改昵称；</w:t>
            </w:r>
          </w:p>
          <w:p w14:paraId="77E30271">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2.2 我的借阅：可查看读者在借图书详情，图书详情包括封面、书名、借阅时间和应还时间，可续借在借图书；</w:t>
            </w:r>
          </w:p>
          <w:p w14:paraId="27ABA359">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2.3 我的预约：看查看当前预约的图书，支持对图书取消预约；</w:t>
            </w:r>
          </w:p>
          <w:p w14:paraId="2AF03B08">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2.4 违约记录：显示违约的图书信息，包括超期、丢失、污损的图书等，并且显示缴费状态和欠款金额；</w:t>
            </w:r>
          </w:p>
          <w:p w14:paraId="7453392F">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2.5 历史借阅：可查看读者借阅历史详情，图书详情包括封面、书名、借阅时间、应还时间和归还时间；</w:t>
            </w:r>
          </w:p>
          <w:p w14:paraId="5BAB6A46">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2.6 我的推荐：显示读者借还设备上推荐的图书；</w:t>
            </w:r>
          </w:p>
          <w:p w14:paraId="5522D48D">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2.7 我的收藏：显示读者收藏的图书，支持取消收藏；</w:t>
            </w:r>
          </w:p>
          <w:p w14:paraId="4E7D510C">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2.8 其他功能：关注公众号、显示催还通知、客服帮助；</w:t>
            </w:r>
          </w:p>
          <w:p w14:paraId="41E08CBB">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3、图书检索：通过书名查询图书信息，支持模糊检索，查询结果提供图书封面、书名、ISBN、出版社、读者评分、作者简介、图书摘要信息，支持读者进行收藏、借阅操作；</w:t>
            </w:r>
          </w:p>
          <w:p w14:paraId="28AE1896">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4、▲扫码借阅：支持扫描设备设备二维码，进行借阅操作；</w:t>
            </w:r>
          </w:p>
          <w:p w14:paraId="2B44D76C">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5、阅读推荐：基于图书信息与大数据对书单进行分栏目推荐，栏目包括：必读书目、热门推荐、新书推荐、课外必读、主席书单；</w:t>
            </w:r>
          </w:p>
          <w:p w14:paraId="6DFD50FE">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6、借阅排行：基于云图借阅数据提供借阅排行书目推荐；</w:t>
            </w:r>
          </w:p>
          <w:p w14:paraId="001222C5">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7、新闻资讯：通过图书馆管理云平台发布相关新闻公告，读者可以及时查看相关信息；</w:t>
            </w:r>
          </w:p>
          <w:p w14:paraId="3E30BEEE">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8、猜你喜欢：基于读者借阅行为与阅读行为的大数据分析，能够针对读者阅读偏好与潜在兴趣推荐合适的书目；</w:t>
            </w:r>
          </w:p>
          <w:p w14:paraId="7C491F65">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9、排行榜：提供本年度/本月借阅人次最多的图书；</w:t>
            </w:r>
          </w:p>
          <w:p w14:paraId="6A500055">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10、图书分类推荐：分类包括经济、文学、艺术、历史地理、农业、医药、工业技术、环境科学、交通运输、政治法律等分类，每个分类提供推荐书单，方便读者查看信息；</w:t>
            </w:r>
          </w:p>
        </w:tc>
      </w:tr>
      <w:tr w14:paraId="397DD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2" w:type="dxa"/>
            <w:tcBorders>
              <w:top w:val="single" w:color="auto" w:sz="4" w:space="0"/>
              <w:left w:val="single" w:color="auto" w:sz="4" w:space="0"/>
              <w:bottom w:val="single" w:color="auto" w:sz="4" w:space="0"/>
              <w:right w:val="single" w:color="auto" w:sz="4" w:space="0"/>
            </w:tcBorders>
            <w:noWrap w:val="0"/>
            <w:vAlign w:val="center"/>
          </w:tcPr>
          <w:p w14:paraId="35AB1FF3">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3</w:t>
            </w:r>
          </w:p>
        </w:tc>
        <w:tc>
          <w:tcPr>
            <w:tcW w:w="1819" w:type="dxa"/>
            <w:tcBorders>
              <w:top w:val="single" w:color="auto" w:sz="4" w:space="0"/>
              <w:left w:val="single" w:color="auto" w:sz="4" w:space="0"/>
              <w:bottom w:val="single" w:color="auto" w:sz="4" w:space="0"/>
              <w:right w:val="single" w:color="auto" w:sz="4" w:space="0"/>
            </w:tcBorders>
            <w:noWrap w:val="0"/>
            <w:vAlign w:val="center"/>
          </w:tcPr>
          <w:p w14:paraId="267A7F67">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无人值守门禁闸机（刷脸款）（2套）</w:t>
            </w:r>
          </w:p>
        </w:tc>
        <w:tc>
          <w:tcPr>
            <w:tcW w:w="5661" w:type="dxa"/>
            <w:tcBorders>
              <w:top w:val="single" w:color="auto" w:sz="4" w:space="0"/>
              <w:left w:val="single" w:color="auto" w:sz="4" w:space="0"/>
              <w:bottom w:val="single" w:color="auto" w:sz="4" w:space="0"/>
              <w:right w:val="single" w:color="auto" w:sz="4" w:space="0"/>
            </w:tcBorders>
            <w:noWrap w:val="0"/>
            <w:vAlign w:val="top"/>
          </w:tcPr>
          <w:p w14:paraId="42399771">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数量尺寸要求：</w:t>
            </w:r>
          </w:p>
          <w:p w14:paraId="5F053C60">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文港路校区要求三通道闸机，闸机单通道宽度75cm，闸机机体单个宽度≤20cm；</w:t>
            </w:r>
          </w:p>
          <w:p w14:paraId="46519A18">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海洋路校区要求单通道闸机，闸机单通道宽度80cm，闸机机体单个宽度≤20cm；</w:t>
            </w:r>
          </w:p>
          <w:p w14:paraId="5CED2110">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功能要求：</w:t>
            </w:r>
            <w:r>
              <w:rPr>
                <w:rFonts w:hint="default" w:ascii="宋体" w:hAnsi="宋体" w:eastAsia="宋体" w:cs="宋体"/>
                <w:b w:val="0"/>
                <w:bCs w:val="0"/>
                <w:i w:val="0"/>
                <w:iCs w:val="0"/>
                <w:color w:val="auto"/>
                <w:sz w:val="24"/>
                <w:szCs w:val="24"/>
                <w:highlight w:val="none"/>
                <w:vertAlign w:val="baseline"/>
                <w:lang w:val="en-US" w:eastAsia="zh-CN" w:bidi="ar-SA"/>
              </w:rPr>
              <w:br w:type="textWrapping"/>
            </w:r>
            <w:r>
              <w:rPr>
                <w:rFonts w:hint="default" w:ascii="宋体" w:hAnsi="宋体" w:eastAsia="宋体" w:cs="宋体"/>
                <w:b w:val="0"/>
                <w:bCs w:val="0"/>
                <w:i w:val="0"/>
                <w:iCs w:val="0"/>
                <w:color w:val="auto"/>
                <w:sz w:val="24"/>
                <w:szCs w:val="24"/>
                <w:highlight w:val="none"/>
                <w:vertAlign w:val="baseline"/>
                <w:lang w:val="en-US" w:eastAsia="zh-CN" w:bidi="ar-SA"/>
              </w:rPr>
              <w:t>1.支持人脸识别或刷有效的读者证、二维码读者证对读者身份进识别，验证成功后发送开门指令控制自助图书馆通道门的开门状态；</w:t>
            </w:r>
            <w:r>
              <w:rPr>
                <w:rFonts w:hint="default" w:ascii="宋体" w:hAnsi="宋体" w:eastAsia="宋体" w:cs="宋体"/>
                <w:b w:val="0"/>
                <w:bCs w:val="0"/>
                <w:i w:val="0"/>
                <w:iCs w:val="0"/>
                <w:color w:val="auto"/>
                <w:sz w:val="24"/>
                <w:szCs w:val="24"/>
                <w:highlight w:val="none"/>
                <w:vertAlign w:val="baseline"/>
                <w:lang w:val="en-US" w:eastAsia="zh-CN" w:bidi="ar-SA"/>
              </w:rPr>
              <w:br w:type="textWrapping"/>
            </w:r>
            <w:r>
              <w:rPr>
                <w:rFonts w:hint="default" w:ascii="宋体" w:hAnsi="宋体" w:eastAsia="宋体" w:cs="宋体"/>
                <w:b w:val="0"/>
                <w:bCs w:val="0"/>
                <w:i w:val="0"/>
                <w:iCs w:val="0"/>
                <w:color w:val="auto"/>
                <w:sz w:val="24"/>
                <w:szCs w:val="24"/>
                <w:highlight w:val="none"/>
                <w:vertAlign w:val="baseline"/>
                <w:lang w:val="en-US" w:eastAsia="zh-CN" w:bidi="ar-SA"/>
              </w:rPr>
              <w:t>2.设备内嵌安装多色LED指引灯，在读者进馆验证身份通过时，显示绿色通行灯，校验失败则显示红色灯光，并播报语音提示。</w:t>
            </w:r>
            <w:r>
              <w:rPr>
                <w:rFonts w:hint="default" w:ascii="宋体" w:hAnsi="宋体" w:eastAsia="宋体" w:cs="宋体"/>
                <w:b w:val="0"/>
                <w:bCs w:val="0"/>
                <w:i w:val="0"/>
                <w:iCs w:val="0"/>
                <w:color w:val="auto"/>
                <w:sz w:val="24"/>
                <w:szCs w:val="24"/>
                <w:highlight w:val="none"/>
                <w:vertAlign w:val="baseline"/>
                <w:lang w:val="en-US" w:eastAsia="zh-CN" w:bidi="ar-SA"/>
              </w:rPr>
              <w:br w:type="textWrapping"/>
            </w:r>
            <w:r>
              <w:rPr>
                <w:rFonts w:hint="default" w:ascii="宋体" w:hAnsi="宋体" w:eastAsia="宋体" w:cs="宋体"/>
                <w:b w:val="0"/>
                <w:bCs w:val="0"/>
                <w:i w:val="0"/>
                <w:iCs w:val="0"/>
                <w:color w:val="auto"/>
                <w:sz w:val="24"/>
                <w:szCs w:val="24"/>
                <w:highlight w:val="none"/>
                <w:vertAlign w:val="baseline"/>
                <w:lang w:val="en-US" w:eastAsia="zh-CN" w:bidi="ar-SA"/>
              </w:rPr>
              <w:t>3.支持实时统计并显示用户入馆排名数据、当天入馆总人数、累计入馆数，可通过接口集成至其他系统。</w:t>
            </w:r>
          </w:p>
          <w:p w14:paraId="1C85D535">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 xml:space="preserve">4、支持双目活体检测；支持强逆光环境下人员运动人脸追踪曝光；支持照片及视频防假功能；支持设备采集人脸，支持照片导入采集人脸，支持身份证阅读器采集人脸 </w:t>
            </w:r>
          </w:p>
          <w:p w14:paraId="3F2ECD2F">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5、支持TF卡本地存储，图片连续存储1年、视频连续存储1个月或更长（和选配TF卡容量有关）</w:t>
            </w:r>
          </w:p>
          <w:p w14:paraId="73223616">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6、支持断网人脸识别；支持人脸终端设备接入其他控制系统，实现联动控制管理功能，支持本地管理和云端远程管理局域网中运行设备。</w:t>
            </w:r>
          </w:p>
          <w:p w14:paraId="0EE94299">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7、设备支持比对结果、身份信息及人脸抓拍图片本地存储，并实时中心上传，还应具备信息你数据断网续传功能，支持人脸、刷卡+人脸（外接身份证阅读器）、人脸/人证（外接身份证阅读器）自动模式等比对方式；其中人脸识别功能（将现场抓拍人脸照片与本地人脸库照片比对），比对时间：＜0.5秒，而人证比对功能（外接身份证阅读器，将现场抓拍人脸照片与居民身份证内照片进行比对）比对时间≤1s。以上比对功能（人脸比对和人证比对）均支持本地单机使用，而人脸比对功能也支持与后端平台或设备联网对接实现。</w:t>
            </w:r>
          </w:p>
          <w:p w14:paraId="6A81E167">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8、设备支持比对结果语音及文字提示功能；可在设备上预览视频、人脸捕捉框、人员信息、设备信息、设备模式及操作提示。</w:t>
            </w:r>
          </w:p>
          <w:p w14:paraId="1DE9279A">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9、设备支持本地或远程中心设置比对模式、阈值、人脸参数、网络参数等，设备本地可重置管理密码、IP地址，并可恢复默认出厂设置参数。</w:t>
            </w:r>
          </w:p>
          <w:p w14:paraId="36D63ECE">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10、设备首次使用时，需设置激活密码才可使用，后续登陆本地管理菜单需先输入登陆密码，保证安全性。</w:t>
            </w:r>
          </w:p>
          <w:p w14:paraId="31E50C62">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11、设备支持屏保功能，在没有用户使用时会切换到待机状态。</w:t>
            </w:r>
          </w:p>
          <w:p w14:paraId="327EA5E8">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12、设备支持播放语音音量大小调节。</w:t>
            </w:r>
          </w:p>
          <w:p w14:paraId="2F50A445">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13、自动增益、自动白平衡，让图像真实的色彩自然还原，内置视频监控专用黑光级传感器，低照度识别更精准 ；</w:t>
            </w:r>
          </w:p>
          <w:p w14:paraId="5263193B">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 xml:space="preserve">14、3D降噪、透雾技术，使得低照度下的监控画面更加清晰细腻 </w:t>
            </w:r>
          </w:p>
          <w:p w14:paraId="2ACA4DA4">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br w:type="textWrapping"/>
            </w:r>
            <w:r>
              <w:rPr>
                <w:rFonts w:hint="default" w:ascii="宋体" w:hAnsi="宋体" w:eastAsia="宋体" w:cs="宋体"/>
                <w:b w:val="0"/>
                <w:bCs w:val="0"/>
                <w:i w:val="0"/>
                <w:iCs w:val="0"/>
                <w:color w:val="auto"/>
                <w:sz w:val="24"/>
                <w:szCs w:val="24"/>
                <w:highlight w:val="none"/>
                <w:vertAlign w:val="baseline"/>
                <w:lang w:val="en-US" w:eastAsia="zh-CN" w:bidi="ar-SA"/>
              </w:rPr>
              <w:t>技术要求：</w:t>
            </w:r>
          </w:p>
          <w:p w14:paraId="0698B53F">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1、8寸IPS全视角高清显示屏，图像无拖影、无延迟，嵌入式操作系统，系统稳定；</w:t>
            </w:r>
          </w:p>
          <w:p w14:paraId="5CF6DA1F">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2、工控主机：处理器I5 或以上；内存：≥4G ；磁盘存储：≥128G；操作系统：windows；</w:t>
            </w:r>
          </w:p>
          <w:p w14:paraId="3C1320CB">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 xml:space="preserve">3、支持24000+的人脸比对库及16万条抓拍记录；屏幕亮度:≥400cd/m2 </w:t>
            </w:r>
          </w:p>
          <w:p w14:paraId="2E83D7AE">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4、支持本地管理和云端远程管理局域网中运行设备</w:t>
            </w:r>
          </w:p>
          <w:p w14:paraId="6B812FFF">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5、摄像头有效像素 ：210 万有效像素，1920*1080 ；</w:t>
            </w:r>
          </w:p>
          <w:p w14:paraId="3D6E8BF9">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6、独有的人脸识别算法，精准识别人脸，人脸识别时间小于0.5s ，</w:t>
            </w:r>
          </w:p>
          <w:p w14:paraId="44F89E3A">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 xml:space="preserve">7、识别距离: 0.5~1.5 米（视镜头可变）；识别高度：1.2~2.2 米（角度可调 ） </w:t>
            </w:r>
          </w:p>
          <w:p w14:paraId="7A44F50B">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8、设备IP66级防水、防尘设计，可完全户外使用；</w:t>
            </w:r>
          </w:p>
          <w:p w14:paraId="408841F3">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9、闸机类型：摆闸</w:t>
            </w:r>
          </w:p>
          <w:p w14:paraId="264DB85B">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10.闸机机身材质：铝合金、金属烤漆、冷轧钢材料；</w:t>
            </w:r>
          </w:p>
          <w:p w14:paraId="25573D6C">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11.闸板材质：透明亚克力</w:t>
            </w:r>
          </w:p>
          <w:p w14:paraId="4B805290">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12.支持软硬件系统远程在线升级</w:t>
            </w:r>
          </w:p>
          <w:p w14:paraId="78E85BB4">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13、宽动态：120db，isp算法人脸局部曝光 ；人脸检测，双目活体检测，人脸跟踪，质量评价，人脸比对</w:t>
            </w:r>
          </w:p>
          <w:p w14:paraId="7656F46C">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 xml:space="preserve">14、平均无故障运行时间 MTBF＞50000h </w:t>
            </w:r>
          </w:p>
          <w:p w14:paraId="4FE2E209">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15、支持网页端系统配置</w:t>
            </w:r>
          </w:p>
          <w:p w14:paraId="4187582E">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16.通信方式 ：RJ45接口、USB；</w:t>
            </w:r>
          </w:p>
          <w:p w14:paraId="37B099C9">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p>
        </w:tc>
      </w:tr>
      <w:tr w14:paraId="7C619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2" w:type="dxa"/>
            <w:tcBorders>
              <w:top w:val="single" w:color="auto" w:sz="4" w:space="0"/>
              <w:left w:val="single" w:color="auto" w:sz="4" w:space="0"/>
              <w:bottom w:val="single" w:color="auto" w:sz="4" w:space="0"/>
              <w:right w:val="single" w:color="auto" w:sz="4" w:space="0"/>
            </w:tcBorders>
            <w:noWrap w:val="0"/>
            <w:vAlign w:val="center"/>
          </w:tcPr>
          <w:p w14:paraId="11297FD3">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4</w:t>
            </w:r>
          </w:p>
        </w:tc>
        <w:tc>
          <w:tcPr>
            <w:tcW w:w="1819" w:type="dxa"/>
            <w:tcBorders>
              <w:top w:val="single" w:color="auto" w:sz="4" w:space="0"/>
              <w:left w:val="single" w:color="auto" w:sz="4" w:space="0"/>
              <w:bottom w:val="single" w:color="auto" w:sz="4" w:space="0"/>
              <w:right w:val="single" w:color="auto" w:sz="4" w:space="0"/>
            </w:tcBorders>
            <w:noWrap w:val="0"/>
            <w:vAlign w:val="center"/>
          </w:tcPr>
          <w:p w14:paraId="65417418">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机柜（2个）</w:t>
            </w:r>
          </w:p>
        </w:tc>
        <w:tc>
          <w:tcPr>
            <w:tcW w:w="5661" w:type="dxa"/>
            <w:tcBorders>
              <w:top w:val="single" w:color="auto" w:sz="4" w:space="0"/>
              <w:left w:val="single" w:color="auto" w:sz="4" w:space="0"/>
              <w:bottom w:val="single" w:color="auto" w:sz="4" w:space="0"/>
              <w:right w:val="single" w:color="auto" w:sz="4" w:space="0"/>
            </w:tcBorders>
            <w:noWrap w:val="0"/>
            <w:vAlign w:val="top"/>
          </w:tcPr>
          <w:p w14:paraId="3A1A548E">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 用于安装交换机、路由器、配线架、网络设备、门禁系统主机，监控设备；</w:t>
            </w:r>
          </w:p>
          <w:p w14:paraId="297B9058">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 机体尺寸：≥H500mm*L600mm*W450mm(具体提供的尺寸根据情况而定)；</w:t>
            </w:r>
          </w:p>
          <w:p w14:paraId="33B06B2B">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3) 机体材质：冷轧钢材质；</w:t>
            </w:r>
          </w:p>
        </w:tc>
      </w:tr>
      <w:tr w14:paraId="4CEF2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42" w:type="dxa"/>
            <w:tcBorders>
              <w:top w:val="single" w:color="auto" w:sz="4" w:space="0"/>
              <w:left w:val="single" w:color="auto" w:sz="4" w:space="0"/>
              <w:bottom w:val="single" w:color="auto" w:sz="4" w:space="0"/>
              <w:right w:val="single" w:color="auto" w:sz="4" w:space="0"/>
            </w:tcBorders>
            <w:noWrap w:val="0"/>
            <w:vAlign w:val="center"/>
          </w:tcPr>
          <w:p w14:paraId="441211AB">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5</w:t>
            </w:r>
          </w:p>
        </w:tc>
        <w:tc>
          <w:tcPr>
            <w:tcW w:w="1819" w:type="dxa"/>
            <w:tcBorders>
              <w:top w:val="single" w:color="auto" w:sz="4" w:space="0"/>
              <w:left w:val="single" w:color="auto" w:sz="4" w:space="0"/>
              <w:bottom w:val="single" w:color="auto" w:sz="4" w:space="0"/>
              <w:right w:val="single" w:color="auto" w:sz="4" w:space="0"/>
            </w:tcBorders>
            <w:noWrap w:val="0"/>
            <w:vAlign w:val="center"/>
          </w:tcPr>
          <w:p w14:paraId="7C09BEB8">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RFID安全门</w:t>
            </w:r>
          </w:p>
          <w:p w14:paraId="664185C6">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（2套）（4片）</w:t>
            </w:r>
          </w:p>
        </w:tc>
        <w:tc>
          <w:tcPr>
            <w:tcW w:w="5661" w:type="dxa"/>
            <w:tcBorders>
              <w:top w:val="single" w:color="auto" w:sz="4" w:space="0"/>
              <w:left w:val="single" w:color="auto" w:sz="4" w:space="0"/>
              <w:bottom w:val="single" w:color="auto" w:sz="4" w:space="0"/>
              <w:right w:val="single" w:color="auto" w:sz="4" w:space="0"/>
            </w:tcBorders>
            <w:noWrap w:val="0"/>
            <w:vAlign w:val="top"/>
          </w:tcPr>
          <w:p w14:paraId="2782AB60">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功能要求：</w:t>
            </w:r>
            <w:r>
              <w:rPr>
                <w:rFonts w:hint="default" w:ascii="宋体" w:hAnsi="宋体" w:eastAsia="宋体" w:cs="宋体"/>
                <w:b w:val="0"/>
                <w:bCs w:val="0"/>
                <w:i w:val="0"/>
                <w:iCs w:val="0"/>
                <w:color w:val="auto"/>
                <w:sz w:val="24"/>
                <w:szCs w:val="24"/>
                <w:highlight w:val="none"/>
                <w:vertAlign w:val="baseline"/>
                <w:lang w:val="en-US" w:eastAsia="zh-CN" w:bidi="ar-SA"/>
              </w:rPr>
              <w:br w:type="textWrapping"/>
            </w:r>
            <w:r>
              <w:rPr>
                <w:rFonts w:hint="default" w:ascii="宋体" w:hAnsi="宋体" w:eastAsia="宋体" w:cs="宋体"/>
                <w:b w:val="0"/>
                <w:bCs w:val="0"/>
                <w:i w:val="0"/>
                <w:iCs w:val="0"/>
                <w:color w:val="auto"/>
                <w:sz w:val="24"/>
                <w:szCs w:val="24"/>
                <w:highlight w:val="none"/>
                <w:vertAlign w:val="baseline"/>
                <w:lang w:val="en-US" w:eastAsia="zh-CN" w:bidi="ar-SA"/>
              </w:rPr>
              <w:t>1.非接触式的快速识别粘贴在流通资料上的RFID标签，不损坏粘贴在流通资料中的磁性介质的资料；</w:t>
            </w:r>
            <w:r>
              <w:rPr>
                <w:rFonts w:hint="default" w:ascii="宋体" w:hAnsi="宋体" w:eastAsia="宋体" w:cs="宋体"/>
                <w:b w:val="0"/>
                <w:bCs w:val="0"/>
                <w:i w:val="0"/>
                <w:iCs w:val="0"/>
                <w:color w:val="auto"/>
                <w:sz w:val="24"/>
                <w:szCs w:val="24"/>
                <w:highlight w:val="none"/>
                <w:vertAlign w:val="baseline"/>
                <w:lang w:val="en-US" w:eastAsia="zh-CN" w:bidi="ar-SA"/>
              </w:rPr>
              <w:br w:type="textWrapping"/>
            </w:r>
            <w:r>
              <w:rPr>
                <w:rFonts w:hint="default" w:ascii="宋体" w:hAnsi="宋体" w:eastAsia="宋体" w:cs="宋体"/>
                <w:b w:val="0"/>
                <w:bCs w:val="0"/>
                <w:i w:val="0"/>
                <w:iCs w:val="0"/>
                <w:color w:val="auto"/>
                <w:sz w:val="24"/>
                <w:szCs w:val="24"/>
                <w:highlight w:val="none"/>
                <w:vertAlign w:val="baseline"/>
                <w:lang w:val="en-US" w:eastAsia="zh-CN" w:bidi="ar-SA"/>
              </w:rPr>
              <w:t>2.设备本身具备人员流量计数功能，断网、断电数据不丢失，数据可重置；</w:t>
            </w:r>
            <w:r>
              <w:rPr>
                <w:rFonts w:hint="default" w:ascii="宋体" w:hAnsi="宋体" w:eastAsia="宋体" w:cs="宋体"/>
                <w:b w:val="0"/>
                <w:bCs w:val="0"/>
                <w:i w:val="0"/>
                <w:iCs w:val="0"/>
                <w:color w:val="auto"/>
                <w:sz w:val="24"/>
                <w:szCs w:val="24"/>
                <w:highlight w:val="none"/>
                <w:vertAlign w:val="baseline"/>
                <w:lang w:val="en-US" w:eastAsia="zh-CN" w:bidi="ar-SA"/>
              </w:rPr>
              <w:br w:type="textWrapping"/>
            </w:r>
            <w:r>
              <w:rPr>
                <w:rFonts w:hint="default" w:ascii="宋体" w:hAnsi="宋体" w:eastAsia="宋体" w:cs="宋体"/>
                <w:b w:val="0"/>
                <w:bCs w:val="0"/>
                <w:i w:val="0"/>
                <w:iCs w:val="0"/>
                <w:color w:val="auto"/>
                <w:sz w:val="24"/>
                <w:szCs w:val="24"/>
                <w:highlight w:val="none"/>
                <w:vertAlign w:val="baseline"/>
                <w:lang w:val="en-US" w:eastAsia="zh-CN" w:bidi="ar-SA"/>
              </w:rPr>
              <w:t>3.具备防盗模式，可无缝对接业务系统的借还数据，实时检测图书是否非法通过，若检测该图书无办理借书操作通过安全门即进行声音报警提示；</w:t>
            </w:r>
            <w:r>
              <w:rPr>
                <w:rFonts w:hint="default" w:ascii="宋体" w:hAnsi="宋体" w:eastAsia="宋体" w:cs="宋体"/>
                <w:b w:val="0"/>
                <w:bCs w:val="0"/>
                <w:i w:val="0"/>
                <w:iCs w:val="0"/>
                <w:color w:val="auto"/>
                <w:sz w:val="24"/>
                <w:szCs w:val="24"/>
                <w:highlight w:val="none"/>
                <w:vertAlign w:val="baseline"/>
                <w:lang w:val="en-US" w:eastAsia="zh-CN" w:bidi="ar-SA"/>
              </w:rPr>
              <w:br w:type="textWrapping"/>
            </w:r>
            <w:r>
              <w:rPr>
                <w:rFonts w:hint="default" w:ascii="宋体" w:hAnsi="宋体" w:eastAsia="宋体" w:cs="宋体"/>
                <w:b w:val="0"/>
                <w:bCs w:val="0"/>
                <w:i w:val="0"/>
                <w:iCs w:val="0"/>
                <w:color w:val="auto"/>
                <w:sz w:val="24"/>
                <w:szCs w:val="24"/>
                <w:highlight w:val="none"/>
                <w:vertAlign w:val="baseline"/>
                <w:lang w:val="en-US" w:eastAsia="zh-CN" w:bidi="ar-SA"/>
              </w:rPr>
              <w:t>4.支持单通道独立工作和多通道并列工作；</w:t>
            </w:r>
            <w:r>
              <w:rPr>
                <w:rFonts w:hint="default" w:ascii="宋体" w:hAnsi="宋体" w:eastAsia="宋体" w:cs="宋体"/>
                <w:b w:val="0"/>
                <w:bCs w:val="0"/>
                <w:i w:val="0"/>
                <w:iCs w:val="0"/>
                <w:color w:val="auto"/>
                <w:sz w:val="24"/>
                <w:szCs w:val="24"/>
                <w:highlight w:val="none"/>
                <w:vertAlign w:val="baseline"/>
                <w:lang w:val="en-US" w:eastAsia="zh-CN" w:bidi="ar-SA"/>
              </w:rPr>
              <w:br w:type="textWrapping"/>
            </w:r>
            <w:r>
              <w:rPr>
                <w:rFonts w:hint="default" w:ascii="宋体" w:hAnsi="宋体" w:eastAsia="宋体" w:cs="宋体"/>
                <w:b w:val="0"/>
                <w:bCs w:val="0"/>
                <w:i w:val="0"/>
                <w:iCs w:val="0"/>
                <w:color w:val="auto"/>
                <w:sz w:val="24"/>
                <w:szCs w:val="24"/>
                <w:highlight w:val="none"/>
                <w:vertAlign w:val="baseline"/>
                <w:lang w:val="en-US" w:eastAsia="zh-CN" w:bidi="ar-SA"/>
              </w:rPr>
              <w:t>5.支持与闸机或门禁系统联动，当图书未正常借阅经过防盗门既发出报警信号，信号源传送指令到闸机或门禁系统，实现通道或门进入锁闭状态，锁闭保持时间可配置；</w:t>
            </w:r>
          </w:p>
          <w:p w14:paraId="7B492696">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 xml:space="preserve">6.▲信号联动：要求每片安全门支持不少于5路数字信号联动输出，其中一路可直接控制220V电源的通断；具有Micro-USB接口，连接电脑即可直接读取和修改安全门配置；具备上电自检功能，如有故障，可语音提示；（须提供带有CMA标志的第三方检测报告复印件并加盖投标人公章）                                                                                                                                                                                                                                                                                                                                                                                                                                                             </w:t>
            </w:r>
            <w:r>
              <w:rPr>
                <w:rFonts w:hint="default" w:ascii="宋体" w:hAnsi="宋体" w:eastAsia="宋体" w:cs="宋体"/>
                <w:b w:val="0"/>
                <w:bCs w:val="0"/>
                <w:i w:val="0"/>
                <w:iCs w:val="0"/>
                <w:color w:val="auto"/>
                <w:sz w:val="24"/>
                <w:szCs w:val="24"/>
                <w:highlight w:val="none"/>
                <w:vertAlign w:val="baseline"/>
                <w:lang w:val="en-US" w:eastAsia="zh-CN" w:bidi="ar-SA"/>
              </w:rPr>
              <w:br w:type="textWrapping"/>
            </w:r>
            <w:r>
              <w:rPr>
                <w:rFonts w:hint="default" w:ascii="宋体" w:hAnsi="宋体" w:eastAsia="宋体" w:cs="宋体"/>
                <w:b w:val="0"/>
                <w:bCs w:val="0"/>
                <w:i w:val="0"/>
                <w:iCs w:val="0"/>
                <w:color w:val="auto"/>
                <w:sz w:val="24"/>
                <w:szCs w:val="24"/>
                <w:highlight w:val="none"/>
                <w:vertAlign w:val="baseline"/>
                <w:lang w:val="en-US" w:eastAsia="zh-CN" w:bidi="ar-SA"/>
              </w:rPr>
              <w:t>技术要求：</w:t>
            </w:r>
            <w:r>
              <w:rPr>
                <w:rFonts w:hint="default" w:ascii="宋体" w:hAnsi="宋体" w:eastAsia="宋体" w:cs="宋体"/>
                <w:b w:val="0"/>
                <w:bCs w:val="0"/>
                <w:i w:val="0"/>
                <w:iCs w:val="0"/>
                <w:color w:val="auto"/>
                <w:sz w:val="24"/>
                <w:szCs w:val="24"/>
                <w:highlight w:val="none"/>
                <w:vertAlign w:val="baseline"/>
                <w:lang w:val="en-US" w:eastAsia="zh-CN" w:bidi="ar-SA"/>
              </w:rPr>
              <w:br w:type="textWrapping"/>
            </w:r>
            <w:r>
              <w:rPr>
                <w:rFonts w:hint="default" w:ascii="宋体" w:hAnsi="宋体" w:eastAsia="宋体" w:cs="宋体"/>
                <w:b w:val="0"/>
                <w:bCs w:val="0"/>
                <w:i w:val="0"/>
                <w:iCs w:val="0"/>
                <w:color w:val="auto"/>
                <w:sz w:val="24"/>
                <w:szCs w:val="24"/>
                <w:highlight w:val="none"/>
                <w:vertAlign w:val="baseline"/>
                <w:lang w:val="en-US" w:eastAsia="zh-CN" w:bidi="ar-SA"/>
              </w:rPr>
              <w:t>6.工作频率为13.56Mhz；</w:t>
            </w:r>
            <w:r>
              <w:rPr>
                <w:rFonts w:hint="default" w:ascii="宋体" w:hAnsi="宋体" w:eastAsia="宋体" w:cs="宋体"/>
                <w:b w:val="0"/>
                <w:bCs w:val="0"/>
                <w:i w:val="0"/>
                <w:iCs w:val="0"/>
                <w:color w:val="auto"/>
                <w:sz w:val="24"/>
                <w:szCs w:val="24"/>
                <w:highlight w:val="none"/>
                <w:vertAlign w:val="baseline"/>
                <w:lang w:val="en-US" w:eastAsia="zh-CN" w:bidi="ar-SA"/>
              </w:rPr>
              <w:br w:type="textWrapping"/>
            </w:r>
            <w:r>
              <w:rPr>
                <w:rFonts w:hint="default" w:ascii="宋体" w:hAnsi="宋体" w:eastAsia="宋体" w:cs="宋体"/>
                <w:b w:val="0"/>
                <w:bCs w:val="0"/>
                <w:i w:val="0"/>
                <w:iCs w:val="0"/>
                <w:color w:val="auto"/>
                <w:sz w:val="24"/>
                <w:szCs w:val="24"/>
                <w:highlight w:val="none"/>
                <w:vertAlign w:val="baseline"/>
                <w:lang w:val="en-US" w:eastAsia="zh-CN" w:bidi="ar-SA"/>
              </w:rPr>
              <w:t>7.90CM≤单通道宽度≤120CM；</w:t>
            </w:r>
            <w:r>
              <w:rPr>
                <w:rFonts w:hint="default" w:ascii="宋体" w:hAnsi="宋体" w:eastAsia="宋体" w:cs="宋体"/>
                <w:b w:val="0"/>
                <w:bCs w:val="0"/>
                <w:i w:val="0"/>
                <w:iCs w:val="0"/>
                <w:color w:val="auto"/>
                <w:sz w:val="24"/>
                <w:szCs w:val="24"/>
                <w:highlight w:val="none"/>
                <w:vertAlign w:val="baseline"/>
                <w:lang w:val="en-US" w:eastAsia="zh-CN" w:bidi="ar-SA"/>
              </w:rPr>
              <w:br w:type="textWrapping"/>
            </w:r>
            <w:r>
              <w:rPr>
                <w:rFonts w:hint="default" w:ascii="宋体" w:hAnsi="宋体" w:eastAsia="宋体" w:cs="宋体"/>
                <w:b w:val="0"/>
                <w:bCs w:val="0"/>
                <w:i w:val="0"/>
                <w:iCs w:val="0"/>
                <w:color w:val="auto"/>
                <w:sz w:val="24"/>
                <w:szCs w:val="24"/>
                <w:highlight w:val="none"/>
                <w:vertAlign w:val="baseline"/>
                <w:lang w:val="en-US" w:eastAsia="zh-CN" w:bidi="ar-SA"/>
              </w:rPr>
              <w:t>8.支持多种防盗模式：AFI、EAS和EAS+AFI、AFI+DSFID；</w:t>
            </w:r>
            <w:r>
              <w:rPr>
                <w:rFonts w:hint="default" w:ascii="宋体" w:hAnsi="宋体" w:eastAsia="宋体" w:cs="宋体"/>
                <w:b w:val="0"/>
                <w:bCs w:val="0"/>
                <w:i w:val="0"/>
                <w:iCs w:val="0"/>
                <w:color w:val="auto"/>
                <w:sz w:val="24"/>
                <w:szCs w:val="24"/>
                <w:highlight w:val="none"/>
                <w:vertAlign w:val="baseline"/>
                <w:lang w:val="en-US" w:eastAsia="zh-CN" w:bidi="ar-SA"/>
              </w:rPr>
              <w:br w:type="textWrapping"/>
            </w:r>
            <w:r>
              <w:rPr>
                <w:rFonts w:hint="default" w:ascii="宋体" w:hAnsi="宋体" w:eastAsia="宋体" w:cs="宋体"/>
                <w:b w:val="0"/>
                <w:bCs w:val="0"/>
                <w:i w:val="0"/>
                <w:iCs w:val="0"/>
                <w:color w:val="auto"/>
                <w:sz w:val="24"/>
                <w:szCs w:val="24"/>
                <w:highlight w:val="none"/>
                <w:vertAlign w:val="baseline"/>
                <w:lang w:val="en-US" w:eastAsia="zh-CN" w:bidi="ar-SA"/>
              </w:rPr>
              <w:t>9.支持噪声检测，可检测周围环境是否有干扰信号；</w:t>
            </w:r>
            <w:r>
              <w:rPr>
                <w:rFonts w:hint="default" w:ascii="宋体" w:hAnsi="宋体" w:eastAsia="宋体" w:cs="宋体"/>
                <w:b w:val="0"/>
                <w:bCs w:val="0"/>
                <w:i w:val="0"/>
                <w:iCs w:val="0"/>
                <w:color w:val="auto"/>
                <w:sz w:val="24"/>
                <w:szCs w:val="24"/>
                <w:highlight w:val="none"/>
                <w:vertAlign w:val="baseline"/>
                <w:lang w:val="en-US" w:eastAsia="zh-CN" w:bidi="ar-SA"/>
              </w:rPr>
              <w:br w:type="textWrapping"/>
            </w:r>
            <w:r>
              <w:rPr>
                <w:rFonts w:hint="default" w:ascii="宋体" w:hAnsi="宋体" w:eastAsia="宋体" w:cs="宋体"/>
                <w:b w:val="0"/>
                <w:bCs w:val="0"/>
                <w:i w:val="0"/>
                <w:iCs w:val="0"/>
                <w:color w:val="auto"/>
                <w:sz w:val="24"/>
                <w:szCs w:val="24"/>
                <w:highlight w:val="none"/>
                <w:vertAlign w:val="baseline"/>
                <w:lang w:val="en-US" w:eastAsia="zh-CN" w:bidi="ar-SA"/>
              </w:rPr>
              <w:t>10.通信接口：支持(USB、串口、以太网、WIFI)，支持多方式接入；</w:t>
            </w:r>
            <w:r>
              <w:rPr>
                <w:rFonts w:hint="default" w:ascii="宋体" w:hAnsi="宋体" w:eastAsia="宋体" w:cs="宋体"/>
                <w:b w:val="0"/>
                <w:bCs w:val="0"/>
                <w:i w:val="0"/>
                <w:iCs w:val="0"/>
                <w:color w:val="auto"/>
                <w:sz w:val="24"/>
                <w:szCs w:val="24"/>
                <w:highlight w:val="none"/>
                <w:vertAlign w:val="baseline"/>
                <w:lang w:val="en-US" w:eastAsia="zh-CN" w:bidi="ar-SA"/>
              </w:rPr>
              <w:br w:type="textWrapping"/>
            </w:r>
            <w:r>
              <w:rPr>
                <w:rFonts w:hint="default" w:ascii="宋体" w:hAnsi="宋体" w:eastAsia="宋体" w:cs="宋体"/>
                <w:b w:val="0"/>
                <w:bCs w:val="0"/>
                <w:i w:val="0"/>
                <w:iCs w:val="0"/>
                <w:color w:val="auto"/>
                <w:sz w:val="24"/>
                <w:szCs w:val="24"/>
                <w:highlight w:val="none"/>
                <w:vertAlign w:val="baseline"/>
                <w:lang w:val="en-US" w:eastAsia="zh-CN" w:bidi="ar-SA"/>
              </w:rPr>
              <w:t>11.中心阅读范围半径：≦450 mm；</w:t>
            </w:r>
            <w:r>
              <w:rPr>
                <w:rFonts w:hint="default" w:ascii="宋体" w:hAnsi="宋体" w:eastAsia="宋体" w:cs="宋体"/>
                <w:b w:val="0"/>
                <w:bCs w:val="0"/>
                <w:i w:val="0"/>
                <w:iCs w:val="0"/>
                <w:color w:val="auto"/>
                <w:sz w:val="24"/>
                <w:szCs w:val="24"/>
                <w:highlight w:val="none"/>
                <w:vertAlign w:val="baseline"/>
                <w:lang w:val="en-US" w:eastAsia="zh-CN" w:bidi="ar-SA"/>
              </w:rPr>
              <w:br w:type="textWrapping"/>
            </w:r>
            <w:r>
              <w:rPr>
                <w:rFonts w:hint="default" w:ascii="宋体" w:hAnsi="宋体" w:eastAsia="宋体" w:cs="宋体"/>
                <w:b w:val="0"/>
                <w:bCs w:val="0"/>
                <w:i w:val="0"/>
                <w:iCs w:val="0"/>
                <w:color w:val="auto"/>
                <w:sz w:val="24"/>
                <w:szCs w:val="24"/>
                <w:highlight w:val="none"/>
                <w:vertAlign w:val="baseline"/>
                <w:lang w:val="en-US" w:eastAsia="zh-CN" w:bidi="ar-SA"/>
              </w:rPr>
              <w:t>12.响应速度：≥20个标签/秒；</w:t>
            </w:r>
            <w:r>
              <w:rPr>
                <w:rFonts w:hint="default" w:ascii="宋体" w:hAnsi="宋体" w:eastAsia="宋体" w:cs="宋体"/>
                <w:b w:val="0"/>
                <w:bCs w:val="0"/>
                <w:i w:val="0"/>
                <w:iCs w:val="0"/>
                <w:color w:val="auto"/>
                <w:sz w:val="24"/>
                <w:szCs w:val="24"/>
                <w:highlight w:val="none"/>
                <w:vertAlign w:val="baseline"/>
                <w:lang w:val="en-US" w:eastAsia="zh-CN" w:bidi="ar-SA"/>
              </w:rPr>
              <w:br w:type="textWrapping"/>
            </w:r>
            <w:r>
              <w:rPr>
                <w:rFonts w:hint="default" w:ascii="宋体" w:hAnsi="宋体" w:eastAsia="宋体" w:cs="宋体"/>
                <w:b w:val="0"/>
                <w:bCs w:val="0"/>
                <w:i w:val="0"/>
                <w:iCs w:val="0"/>
                <w:color w:val="auto"/>
                <w:sz w:val="24"/>
                <w:szCs w:val="24"/>
                <w:highlight w:val="none"/>
                <w:vertAlign w:val="baseline"/>
                <w:lang w:val="en-US" w:eastAsia="zh-CN" w:bidi="ar-SA"/>
              </w:rPr>
              <w:t>13.灯光故障：支持故障提示灯设置（断网故障提示灯和门失联故障提示灯）；</w:t>
            </w:r>
            <w:r>
              <w:rPr>
                <w:rFonts w:hint="default" w:ascii="宋体" w:hAnsi="宋体" w:eastAsia="宋体" w:cs="宋体"/>
                <w:b w:val="0"/>
                <w:bCs w:val="0"/>
                <w:i w:val="0"/>
                <w:iCs w:val="0"/>
                <w:color w:val="auto"/>
                <w:sz w:val="24"/>
                <w:szCs w:val="24"/>
                <w:highlight w:val="none"/>
                <w:vertAlign w:val="baseline"/>
                <w:lang w:val="en-US" w:eastAsia="zh-CN" w:bidi="ar-SA"/>
              </w:rPr>
              <w:br w:type="textWrapping"/>
            </w:r>
            <w:r>
              <w:rPr>
                <w:rFonts w:hint="default" w:ascii="宋体" w:hAnsi="宋体" w:eastAsia="宋体" w:cs="宋体"/>
                <w:b w:val="0"/>
                <w:bCs w:val="0"/>
                <w:i w:val="0"/>
                <w:iCs w:val="0"/>
                <w:color w:val="auto"/>
                <w:sz w:val="24"/>
                <w:szCs w:val="24"/>
                <w:highlight w:val="none"/>
                <w:vertAlign w:val="baseline"/>
                <w:lang w:val="en-US" w:eastAsia="zh-CN" w:bidi="ar-SA"/>
              </w:rPr>
              <w:t>14.外壳材质：亚克力和钣金；</w:t>
            </w:r>
            <w:r>
              <w:rPr>
                <w:rFonts w:hint="default" w:ascii="宋体" w:hAnsi="宋体" w:eastAsia="宋体" w:cs="宋体"/>
                <w:b w:val="0"/>
                <w:bCs w:val="0"/>
                <w:i w:val="0"/>
                <w:iCs w:val="0"/>
                <w:color w:val="auto"/>
                <w:sz w:val="24"/>
                <w:szCs w:val="24"/>
                <w:highlight w:val="none"/>
                <w:vertAlign w:val="baseline"/>
                <w:lang w:val="en-US" w:eastAsia="zh-CN" w:bidi="ar-SA"/>
              </w:rPr>
              <w:br w:type="textWrapping"/>
            </w:r>
            <w:r>
              <w:rPr>
                <w:rFonts w:hint="default" w:ascii="宋体" w:hAnsi="宋体" w:eastAsia="宋体" w:cs="宋体"/>
                <w:b w:val="0"/>
                <w:bCs w:val="0"/>
                <w:i w:val="0"/>
                <w:iCs w:val="0"/>
                <w:color w:val="auto"/>
                <w:sz w:val="24"/>
                <w:szCs w:val="24"/>
                <w:highlight w:val="none"/>
                <w:vertAlign w:val="baseline"/>
                <w:lang w:val="en-US" w:eastAsia="zh-CN" w:bidi="ar-SA"/>
              </w:rPr>
              <w:t>15.设备尺寸：外观（长 x 宽 x 高） ≥ ：L600*W120*H1660mm；</w:t>
            </w:r>
          </w:p>
        </w:tc>
      </w:tr>
      <w:tr w14:paraId="30C487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8" w:hRule="atLeast"/>
        </w:trPr>
        <w:tc>
          <w:tcPr>
            <w:tcW w:w="1042" w:type="dxa"/>
            <w:tcBorders>
              <w:top w:val="single" w:color="auto" w:sz="4" w:space="0"/>
              <w:left w:val="single" w:color="auto" w:sz="4" w:space="0"/>
              <w:bottom w:val="single" w:color="auto" w:sz="4" w:space="0"/>
              <w:right w:val="single" w:color="auto" w:sz="4" w:space="0"/>
            </w:tcBorders>
            <w:noWrap w:val="0"/>
            <w:vAlign w:val="center"/>
          </w:tcPr>
          <w:p w14:paraId="10C4A9AB">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6</w:t>
            </w:r>
          </w:p>
        </w:tc>
        <w:tc>
          <w:tcPr>
            <w:tcW w:w="1819" w:type="dxa"/>
            <w:tcBorders>
              <w:top w:val="single" w:color="auto" w:sz="4" w:space="0"/>
              <w:left w:val="single" w:color="auto" w:sz="4" w:space="0"/>
              <w:bottom w:val="single" w:color="auto" w:sz="4" w:space="0"/>
              <w:right w:val="single" w:color="auto" w:sz="4" w:space="0"/>
            </w:tcBorders>
            <w:noWrap w:val="0"/>
            <w:vAlign w:val="center"/>
          </w:tcPr>
          <w:p w14:paraId="7B708B33">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馆员工作站</w:t>
            </w:r>
          </w:p>
          <w:p w14:paraId="200E85C6">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（2台）</w:t>
            </w:r>
          </w:p>
        </w:tc>
        <w:tc>
          <w:tcPr>
            <w:tcW w:w="5661" w:type="dxa"/>
            <w:tcBorders>
              <w:top w:val="single" w:color="auto" w:sz="4" w:space="0"/>
              <w:left w:val="single" w:color="auto" w:sz="4" w:space="0"/>
              <w:bottom w:val="single" w:color="auto" w:sz="4" w:space="0"/>
              <w:right w:val="single" w:color="auto" w:sz="4" w:space="0"/>
            </w:tcBorders>
            <w:noWrap w:val="0"/>
            <w:vAlign w:val="top"/>
          </w:tcPr>
          <w:p w14:paraId="6E835355">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 xml:space="preserve">1、桌面式馆员工作站是集成RFID读写装置、各种类型读者证卡识别装置一体的设备，对RFID图书/档案标签进行编写、识别和流通状态处理，应用于标签转换以及图书人工借还环节。                                                                                                                                            </w:t>
            </w:r>
          </w:p>
          <w:p w14:paraId="55849591">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2、产品尺寸：长≥450mm，宽≥300mm，高≥28mm；</w:t>
            </w:r>
          </w:p>
          <w:p w14:paraId="1C90AA52">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3、材质：一体化设计，ABS 工程塑料，亚克力，钣金</w:t>
            </w:r>
          </w:p>
          <w:p w14:paraId="314D8175">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4、读卡速度：≥50张/秒；</w:t>
            </w:r>
          </w:p>
          <w:p w14:paraId="7D8900E7">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5、工作频率：13.56MHz；</w:t>
            </w:r>
          </w:p>
          <w:p w14:paraId="6E0CD71E">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6、图书识别：要求可识别多本（堆砌高度：≤250mm）；</w:t>
            </w:r>
          </w:p>
          <w:p w14:paraId="5E4A67B5">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7、防冲突性：要求一次至少可有效识读8个RFID标签。</w:t>
            </w:r>
          </w:p>
          <w:p w14:paraId="0EA68124">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8、读者证阅读器：具备RF读者证阅读模块，支持ISO14443A标准、ISO15693标准；</w:t>
            </w:r>
          </w:p>
          <w:p w14:paraId="510BB55E">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9、支持RFID标签非接触式地进行阅读，有读取、写入、改写RFID标签的能力，允许流通资料的相关信息快速写入标签；</w:t>
            </w:r>
          </w:p>
          <w:p w14:paraId="0760F895">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10、工作模式：要求具有管理员界面可选配馆员模式、自助借还模式、借书模式、还书模式、查询模式等多种工作模式，保证系统软件操作更便捷化；</w:t>
            </w:r>
          </w:p>
          <w:p w14:paraId="1DE7A770">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 xml:space="preserve">11、图书管理：要求具有图书绑定、图书列表、借还标志位、标签读取等功能； </w:t>
            </w:r>
          </w:p>
          <w:p w14:paraId="3F9C8FD1">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 xml:space="preserve">12、图书绑定：要求具有条形码和标签的绑定功能，将图书信息上传后台，允许导出或删除；  </w:t>
            </w:r>
          </w:p>
          <w:p w14:paraId="73545410">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 xml:space="preserve">13、图书列表：可获取图书列表、删除指定图书、条件检索图书，支持查找和删除已经转换过的标签，可通过“条码”、“标签”、“作者”进行查找； </w:t>
            </w:r>
          </w:p>
          <w:p w14:paraId="1BEBEB99">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 xml:space="preserve">14、EAS防盗位读写：要求可自动读取借还标志位(EAS)状态，支持修改RFID标签安全位的开启和关闭； </w:t>
            </w:r>
          </w:p>
          <w:p w14:paraId="3E22FCAA">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15、标签读写：要求可自动读取标签信息，支持检测和修改图书标签内相关信息以及核对标签转换是否正常，标签读写支持28560规范；</w:t>
            </w:r>
          </w:p>
          <w:p w14:paraId="7BA7193A">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 xml:space="preserve">16、读者激活：系统读取读者证芯片信息，选择馆藏地，录入或批量导入读者信息和读者证号，绑定激活，便可在设备进行正常借还操作； </w:t>
            </w:r>
          </w:p>
          <w:p w14:paraId="7578B5DE">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 xml:space="preserve">17、读者列表：可获取读者列表、查看读者信息与借阅记录，允许删除或导出指定读者；  </w:t>
            </w:r>
          </w:p>
          <w:p w14:paraId="53DF77CA">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18、图书借还：要求具有借书、还书、预约功能，允许查看读者借阅记录以及读者信息；</w:t>
            </w:r>
          </w:p>
          <w:p w14:paraId="37B2DCE2">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 xml:space="preserve">19、层架标创建：要求支持层架标创建、上传同步，创建新层架标并加入描述，方便管控层架； </w:t>
            </w:r>
          </w:p>
          <w:p w14:paraId="443DDFDB">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20、层架标列表：要求可获取层架标列表、编辑修改和删除指定层架标信息；</w:t>
            </w:r>
          </w:p>
          <w:p w14:paraId="321F777D">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 xml:space="preserve">21、▲系统设置：要求具有检索读卡器、图书管理系统、 功能选配、设置组织、语言设置、帮助指南等多个设置功能；具备自助借还模式：要求具有查看读者信息，允许读者自助借还书刊、查询书刊详情、馆藏位置、预借信息的功能；（须提供带有CMA标志的第三方检测报告复印件并加盖投标人公章）                                                                                    </w:t>
            </w:r>
          </w:p>
          <w:p w14:paraId="34A3D225">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 xml:space="preserve">22、检索读卡器：要求设备开启时自动检测读卡器连接状态； </w:t>
            </w:r>
          </w:p>
          <w:p w14:paraId="36D9AC3C">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 xml:space="preserve">23、图书管理系统：可设置图书馆管理系统的地址，点击浏览器可直接跳转至图书馆管理系统；  </w:t>
            </w:r>
          </w:p>
          <w:p w14:paraId="072F7BE8">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 xml:space="preserve">24、功能配置：要求导航栏可根据需要显示和隐藏； </w:t>
            </w:r>
          </w:p>
          <w:p w14:paraId="6FC443DE">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25、设置组织：要求可随时切换所需操作的组织单位；</w:t>
            </w:r>
          </w:p>
          <w:p w14:paraId="3AEABB90">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 xml:space="preserve">26、语言选择：系统可支持中、英文切换；  </w:t>
            </w:r>
          </w:p>
          <w:p w14:paraId="091ADF85">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27、账号管理：允许用户修改昵称，绑定电话号码及邮箱，支持修改密码；</w:t>
            </w:r>
          </w:p>
          <w:p w14:paraId="0129B2F9">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28、借书模式：系统可设置为仅允许读者借阅书刊模式；</w:t>
            </w:r>
          </w:p>
          <w:p w14:paraId="39831F47">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29、还书模式:系统可设置为仅允许读者还书操作,提示读者还书位置，方便规范管理，减少馆员工作量；</w:t>
            </w:r>
          </w:p>
          <w:p w14:paraId="7EBFC0CB">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30、查询模式：系统可设置为仅允许读者查询所属馆藏地的书刊位置、条码、书刊详情；</w:t>
            </w:r>
          </w:p>
        </w:tc>
      </w:tr>
      <w:tr w14:paraId="732E0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1042" w:type="dxa"/>
            <w:tcBorders>
              <w:top w:val="single" w:color="auto" w:sz="4" w:space="0"/>
              <w:left w:val="single" w:color="auto" w:sz="4" w:space="0"/>
              <w:bottom w:val="single" w:color="auto" w:sz="4" w:space="0"/>
              <w:right w:val="single" w:color="auto" w:sz="4" w:space="0"/>
            </w:tcBorders>
            <w:noWrap w:val="0"/>
            <w:vAlign w:val="center"/>
          </w:tcPr>
          <w:p w14:paraId="26A51FF2">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7</w:t>
            </w:r>
          </w:p>
        </w:tc>
        <w:tc>
          <w:tcPr>
            <w:tcW w:w="1819" w:type="dxa"/>
            <w:tcBorders>
              <w:top w:val="single" w:color="auto" w:sz="4" w:space="0"/>
              <w:left w:val="single" w:color="auto" w:sz="4" w:space="0"/>
              <w:bottom w:val="single" w:color="auto" w:sz="4" w:space="0"/>
              <w:right w:val="single" w:color="auto" w:sz="4" w:space="0"/>
            </w:tcBorders>
            <w:noWrap w:val="0"/>
            <w:vAlign w:val="center"/>
          </w:tcPr>
          <w:p w14:paraId="25AE0669">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自助借还机</w:t>
            </w:r>
          </w:p>
          <w:p w14:paraId="12582390">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（2台）</w:t>
            </w:r>
          </w:p>
        </w:tc>
        <w:tc>
          <w:tcPr>
            <w:tcW w:w="5661" w:type="dxa"/>
            <w:tcBorders>
              <w:top w:val="single" w:color="auto" w:sz="4" w:space="0"/>
              <w:left w:val="single" w:color="auto" w:sz="4" w:space="0"/>
              <w:bottom w:val="single" w:color="auto" w:sz="4" w:space="0"/>
              <w:right w:val="single" w:color="auto" w:sz="4" w:space="0"/>
            </w:tcBorders>
            <w:noWrap w:val="0"/>
            <w:vAlign w:val="top"/>
          </w:tcPr>
          <w:p w14:paraId="3CFF7ACA">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1、外观规格：≥540mm*520mm*1184mm (长×宽×高)；</w:t>
            </w:r>
          </w:p>
          <w:p w14:paraId="696E3766">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2、屏幕规格：≥522mm*318mm*56mm (长×宽×厚)；</w:t>
            </w:r>
          </w:p>
          <w:p w14:paraId="0E311342">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3、屏幕尺寸：≥21.5寸；</w:t>
            </w:r>
          </w:p>
          <w:p w14:paraId="0E8B22FC">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4、台面高度：≥780mm；</w:t>
            </w:r>
          </w:p>
          <w:p w14:paraId="2C31408E">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5、读写距离：16cm ~ 40cm；</w:t>
            </w:r>
          </w:p>
          <w:p w14:paraId="6F194FDD">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6、材料结构：采用冷轧钢板材质，铝型材包边，表面钢化玻璃圆角处理；</w:t>
            </w:r>
          </w:p>
          <w:p w14:paraId="7E6155FF">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7、工作温度：-10℃~40℃；</w:t>
            </w:r>
          </w:p>
          <w:p w14:paraId="5E6A77F7">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8、相对湿度：10% ~ 90%；</w:t>
            </w:r>
          </w:p>
          <w:p w14:paraId="5D1D594E">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9、工作频率：13.56MHz；</w:t>
            </w:r>
          </w:p>
          <w:p w14:paraId="357ED69F">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10、符合标准：ISO15693，ISO14443A；</w:t>
            </w:r>
          </w:p>
          <w:p w14:paraId="525EAB93">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11、连接方式：有线连接，WIFI连接；</w:t>
            </w:r>
          </w:p>
          <w:p w14:paraId="02C04564">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12、主机配置：Android系统电容触控一体机；</w:t>
            </w:r>
          </w:p>
          <w:p w14:paraId="0D327187">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13、屏幕比例：16:9；</w:t>
            </w:r>
          </w:p>
          <w:p w14:paraId="4CBE1A00">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14、分辨率≥1920*1080；</w:t>
            </w:r>
          </w:p>
          <w:p w14:paraId="2FBA9669">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15、对比度：3000:1；</w:t>
            </w:r>
          </w:p>
          <w:p w14:paraId="32B8D431">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16、系统版本：Android 6.0及以上；</w:t>
            </w:r>
          </w:p>
          <w:p w14:paraId="14A4E2AA">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17、CPU处理器：RK 3288（Cortex-A17）及以上 ，频率1.8GHz及以上 ；</w:t>
            </w:r>
          </w:p>
          <w:p w14:paraId="29771207">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18、运行内存：4G及以上；磁盘存储：≥128G。</w:t>
            </w:r>
            <w:r>
              <w:rPr>
                <w:rFonts w:hint="default" w:ascii="宋体" w:hAnsi="宋体" w:eastAsia="宋体" w:cs="宋体"/>
                <w:b w:val="0"/>
                <w:bCs w:val="0"/>
                <w:i w:val="0"/>
                <w:iCs w:val="0"/>
                <w:color w:val="auto"/>
                <w:sz w:val="24"/>
                <w:szCs w:val="24"/>
                <w:highlight w:val="none"/>
                <w:vertAlign w:val="baseline"/>
                <w:lang w:val="en-US" w:eastAsia="zh-CN" w:bidi="ar-SA"/>
              </w:rPr>
              <w:tab/>
            </w:r>
            <w:r>
              <w:rPr>
                <w:rFonts w:hint="default" w:ascii="宋体" w:hAnsi="宋体" w:eastAsia="宋体" w:cs="宋体"/>
                <w:b w:val="0"/>
                <w:bCs w:val="0"/>
                <w:i w:val="0"/>
                <w:iCs w:val="0"/>
                <w:color w:val="auto"/>
                <w:sz w:val="24"/>
                <w:szCs w:val="24"/>
                <w:highlight w:val="none"/>
                <w:vertAlign w:val="baseline"/>
                <w:lang w:val="en-US" w:eastAsia="zh-CN" w:bidi="ar-SA"/>
              </w:rPr>
              <w:tab/>
            </w:r>
            <w:r>
              <w:rPr>
                <w:rFonts w:hint="default" w:ascii="宋体" w:hAnsi="宋体" w:eastAsia="宋体" w:cs="宋体"/>
                <w:b w:val="0"/>
                <w:bCs w:val="0"/>
                <w:i w:val="0"/>
                <w:iCs w:val="0"/>
                <w:color w:val="auto"/>
                <w:sz w:val="24"/>
                <w:szCs w:val="24"/>
                <w:highlight w:val="none"/>
                <w:vertAlign w:val="baseline"/>
                <w:lang w:val="en-US" w:eastAsia="zh-CN" w:bidi="ar-SA"/>
              </w:rPr>
              <w:tab/>
            </w:r>
            <w:r>
              <w:rPr>
                <w:rFonts w:hint="default" w:ascii="宋体" w:hAnsi="宋体" w:eastAsia="宋体" w:cs="宋体"/>
                <w:b w:val="0"/>
                <w:bCs w:val="0"/>
                <w:i w:val="0"/>
                <w:iCs w:val="0"/>
                <w:color w:val="auto"/>
                <w:sz w:val="24"/>
                <w:szCs w:val="24"/>
                <w:highlight w:val="none"/>
                <w:vertAlign w:val="baseline"/>
                <w:lang w:val="en-US" w:eastAsia="zh-CN" w:bidi="ar-SA"/>
              </w:rPr>
              <w:tab/>
            </w:r>
          </w:p>
          <w:p w14:paraId="2079D7CE">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19、音频输出：立体声L/R，10W*2，8Ω；</w:t>
            </w:r>
          </w:p>
          <w:p w14:paraId="0CD8EBDD">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20、接口配置：LAN有线网口，RJ45八芯标准接口，WiFi 2.4GHz，USB*2，HDMI(out)*1；RS-232*4；</w:t>
            </w:r>
          </w:p>
          <w:p w14:paraId="2D27EF10">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21、摄像头：200W及以上；</w:t>
            </w:r>
          </w:p>
          <w:p w14:paraId="1DB18C4C">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22、供电：AC220V，50Hz；</w:t>
            </w:r>
          </w:p>
          <w:p w14:paraId="7D9E8145">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23、最大功率：≤120W；</w:t>
            </w:r>
          </w:p>
          <w:p w14:paraId="6BDFFFCD">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24、登录方式：支持账号登录、人脸识别、刷卡登录、微信扫码等多种登录方式；</w:t>
            </w:r>
          </w:p>
          <w:p w14:paraId="2141AE9F">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25、自助借阅：具有对图书标签防盗位进行复位或置位，可以一次借还多本书刊；</w:t>
            </w:r>
          </w:p>
          <w:p w14:paraId="6276499B">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26、隐私保护：具有保护读者隐私功能，可选择隐藏读者部分信息；</w:t>
            </w:r>
          </w:p>
          <w:p w14:paraId="6705B742">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27、读者管理：允许查看读者个人信息，借阅量、在借量、超期量、借阅期限和人脸注册信息；在借书刊借阅时间以及到期时间，是否允许续借；预借到期时间和取消预借；密码管理等；</w:t>
            </w:r>
          </w:p>
          <w:p w14:paraId="43B6B83F">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28、图书查询：可查询文献所在位置信息，方便读者借阅；</w:t>
            </w:r>
          </w:p>
          <w:p w14:paraId="67189286">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29、排行信息：系统具有图书排行和读者排行功能，可本地查看排行信息；</w:t>
            </w:r>
          </w:p>
          <w:p w14:paraId="456FAC02">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30、设备缓存数据管理：支持查看本馆读者人数、人脸数量并允许清除缓存数据；</w:t>
            </w:r>
          </w:p>
          <w:p w14:paraId="59EF8E0C">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31、多语言支持：支持中文、英文等多种语言的交互提示；</w:t>
            </w:r>
          </w:p>
          <w:p w14:paraId="17CF2B27">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32、▲人脸识别：要求不依托第三方平台，自建人脸数据库，可在局域网环境下实现人脸识别功能。支持管理员后台上传读者人脸照片或批量导入读者人脸特征数据；支持读者通过个人中心或小程序自主上传人脸头像；图书馆设备进行人脸注册系统自动提取人脸数据等多种获取人脸数据途径；（须提供带有CMA标志的第三方检测报告复印件并加盖投标人公章）</w:t>
            </w:r>
          </w:p>
          <w:p w14:paraId="70E52052">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33、书单推荐：要求设备支持多种类书单图书推荐，包括新书推荐、热门推荐、必读书目、主席书单、课外必读等多种书单类型，各类型书单中推荐的图书均与主题呼应，各不相同，满足不同读者需求</w:t>
            </w:r>
          </w:p>
          <w:p w14:paraId="5CB59C25">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34、▲人脸检测屏保：设备在默认屏保状态下，摄像头检测到屏幕前有人脸时，即可自动退出屏保，无需使用者手动退出屏保。（须提供带有CMA标志的第三方检测报告复印件并加盖投标人公章）</w:t>
            </w:r>
          </w:p>
          <w:p w14:paraId="1C23E4A4">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35、智能屏保：设备具有智能屏保功能，管理员可将屏保设置为图片轮播、视频轮播、每日一句、诗词、十万个为什么、童话故事、中华成语词典、资治通鉴等,可在设置界面选择多种模式。</w:t>
            </w:r>
          </w:p>
          <w:p w14:paraId="371A67AA">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36、电子办证：要求具有通过微信扫描设备屏幕上的二维码即可注册电子借阅证功能，绑定小程序可上传人脸数据并保存，实现无卡登录、借阅。</w:t>
            </w:r>
          </w:p>
          <w:p w14:paraId="53156C55">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37、▲阅读评测：要求设备具备阅读评测功能，读者可在设备上进行阅读能力测评，获得自己的阅读综合能力值与评语，其中综合能力值包含但不限于：信息检索、信息运用、创新求异、赏析评鉴、解释推理等五个维度，系统会根据评测结果对该读者进行精准的书籍推荐（须提供带有CMA标志的第三方检测报告复印件并加盖投标人公章）</w:t>
            </w:r>
          </w:p>
          <w:p w14:paraId="7F02E8DA">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38、▲百科答题：要求设备具备百科答题功能，读者登录设备后可进行百科答题，答题过程中系统提供优质的视听感受，具备不同音效区分正确与错误答案；题目涉及≥4个不同的领域。检验读者知识储备，提升阅读乐趣（须提供带有CMA标志的第三方检测报告复印件并加盖投标人公章）</w:t>
            </w:r>
          </w:p>
          <w:p w14:paraId="5CE65DF1">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39、▲书单推荐：要求设备支持多种类书单图书推荐，包括新书推荐、热门推荐、必读书目、主席书单、课外必读等多种书单类型，各类型书单中推荐的图书均与主题呼应，各不相同，满足不同读者需求（须提供带有CMA标志的第三方检测报告复印件并加盖投标人公章）</w:t>
            </w:r>
          </w:p>
          <w:p w14:paraId="39103E8A">
            <w:pPr>
              <w:spacing w:line="500" w:lineRule="exact"/>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40、学习强国：要求设备具备学习强国功能，读者通过设备配套软件即可进入“学习强国”板块，查看最新“学习强国”资讯；“学习强国”板块与借还书功能可实现无缝切换；（须提供带有CMA标志的第三方检测报告复印件并加盖投标人公章）</w:t>
            </w:r>
          </w:p>
          <w:p w14:paraId="0027F16F">
            <w:pPr>
              <w:spacing w:line="500" w:lineRule="exact"/>
              <w:jc w:val="both"/>
              <w:rPr>
                <w:rFonts w:hint="eastAsia" w:ascii="宋体" w:hAnsi="宋体" w:eastAsia="宋体" w:cs="宋体"/>
                <w:b w:val="0"/>
                <w:bCs w:val="0"/>
                <w:i w:val="0"/>
                <w:iCs w:val="0"/>
                <w:color w:val="auto"/>
                <w:sz w:val="24"/>
                <w:szCs w:val="24"/>
                <w:highlight w:val="none"/>
                <w:vertAlign w:val="baseline"/>
                <w:lang w:val="en-US" w:eastAsia="zh-CN" w:bidi="ar-SA"/>
              </w:rPr>
            </w:pPr>
            <w:r>
              <w:rPr>
                <w:rFonts w:hint="eastAsia" w:ascii="宋体" w:hAnsi="宋体" w:eastAsia="宋体" w:cs="宋体"/>
                <w:b w:val="0"/>
                <w:bCs w:val="0"/>
                <w:i w:val="0"/>
                <w:iCs w:val="0"/>
                <w:color w:val="auto"/>
                <w:sz w:val="24"/>
                <w:szCs w:val="24"/>
                <w:highlight w:val="none"/>
                <w:vertAlign w:val="baseline"/>
                <w:lang w:val="en-US" w:eastAsia="zh-CN" w:bidi="ar-SA"/>
              </w:rPr>
              <w:t>41、</w:t>
            </w:r>
            <w:r>
              <w:rPr>
                <w:rFonts w:hint="default" w:ascii="宋体" w:hAnsi="宋体" w:eastAsia="宋体" w:cs="宋体"/>
                <w:b w:val="0"/>
                <w:bCs w:val="0"/>
                <w:i w:val="0"/>
                <w:iCs w:val="0"/>
                <w:color w:val="auto"/>
                <w:sz w:val="24"/>
                <w:szCs w:val="24"/>
                <w:highlight w:val="none"/>
                <w:vertAlign w:val="baseline"/>
                <w:lang w:val="en-US" w:eastAsia="zh-CN" w:bidi="ar-SA"/>
              </w:rPr>
              <w:t>▲</w:t>
            </w:r>
            <w:r>
              <w:rPr>
                <w:rFonts w:hint="eastAsia" w:ascii="宋体" w:hAnsi="宋体" w:eastAsia="宋体" w:cs="宋体"/>
                <w:b w:val="0"/>
                <w:bCs w:val="0"/>
                <w:i w:val="0"/>
                <w:iCs w:val="0"/>
                <w:color w:val="auto"/>
                <w:sz w:val="24"/>
                <w:szCs w:val="24"/>
                <w:highlight w:val="none"/>
                <w:vertAlign w:val="baseline"/>
                <w:lang w:val="en-US" w:eastAsia="zh-CN" w:bidi="ar-SA"/>
              </w:rPr>
              <w:t>AI快读：对于设备所推荐的和读者查询到的图书，设备可以为读者呈现由AI模型智能整理的图书梗概，包括内容概要、经典情节和人物分析等，方便读者快速阅读；（提供</w:t>
            </w:r>
            <w:r>
              <w:rPr>
                <w:rFonts w:hint="eastAsia" w:ascii="宋体" w:hAnsi="宋体" w:cs="宋体"/>
                <w:b w:val="0"/>
                <w:bCs w:val="0"/>
                <w:i w:val="0"/>
                <w:iCs w:val="0"/>
                <w:color w:val="auto"/>
                <w:sz w:val="24"/>
                <w:szCs w:val="24"/>
                <w:highlight w:val="none"/>
                <w:vertAlign w:val="baseline"/>
                <w:lang w:val="en-US" w:eastAsia="zh-CN" w:bidi="ar-SA"/>
              </w:rPr>
              <w:t>样机</w:t>
            </w:r>
            <w:r>
              <w:rPr>
                <w:rFonts w:hint="eastAsia" w:ascii="宋体" w:hAnsi="宋体" w:eastAsia="宋体" w:cs="宋体"/>
                <w:b w:val="0"/>
                <w:bCs w:val="0"/>
                <w:i w:val="0"/>
                <w:iCs w:val="0"/>
                <w:color w:val="auto"/>
                <w:sz w:val="24"/>
                <w:szCs w:val="24"/>
                <w:highlight w:val="none"/>
                <w:vertAlign w:val="baseline"/>
                <w:lang w:val="en-US" w:eastAsia="zh-CN" w:bidi="ar-SA"/>
              </w:rPr>
              <w:t>进行现场</w:t>
            </w:r>
            <w:r>
              <w:rPr>
                <w:rFonts w:hint="eastAsia" w:ascii="宋体" w:hAnsi="宋体" w:cs="宋体"/>
                <w:b w:val="0"/>
                <w:bCs w:val="0"/>
                <w:i w:val="0"/>
                <w:iCs w:val="0"/>
                <w:color w:val="auto"/>
                <w:sz w:val="24"/>
                <w:szCs w:val="24"/>
                <w:highlight w:val="none"/>
                <w:vertAlign w:val="baseline"/>
                <w:lang w:val="en-US" w:eastAsia="zh-CN" w:bidi="ar-SA"/>
              </w:rPr>
              <w:t>详细</w:t>
            </w:r>
            <w:r>
              <w:rPr>
                <w:rFonts w:hint="eastAsia" w:ascii="宋体" w:hAnsi="宋体" w:eastAsia="宋体" w:cs="宋体"/>
                <w:b w:val="0"/>
                <w:bCs w:val="0"/>
                <w:i w:val="0"/>
                <w:iCs w:val="0"/>
                <w:color w:val="auto"/>
                <w:sz w:val="24"/>
                <w:szCs w:val="24"/>
                <w:highlight w:val="none"/>
                <w:vertAlign w:val="baseline"/>
                <w:lang w:val="en-US" w:eastAsia="zh-CN" w:bidi="ar-SA"/>
              </w:rPr>
              <w:t>功能演示</w:t>
            </w:r>
            <w:r>
              <w:rPr>
                <w:rFonts w:hint="eastAsia" w:ascii="宋体" w:hAnsi="宋体" w:cs="宋体"/>
                <w:b w:val="0"/>
                <w:bCs w:val="0"/>
                <w:i w:val="0"/>
                <w:iCs w:val="0"/>
                <w:color w:val="auto"/>
                <w:sz w:val="24"/>
                <w:szCs w:val="24"/>
                <w:highlight w:val="none"/>
                <w:vertAlign w:val="baseline"/>
                <w:lang w:val="en-US" w:eastAsia="zh-CN" w:bidi="ar-SA"/>
              </w:rPr>
              <w:t>，并完成功能解答</w:t>
            </w:r>
            <w:r>
              <w:rPr>
                <w:rFonts w:hint="eastAsia" w:ascii="宋体" w:hAnsi="宋体" w:eastAsia="宋体" w:cs="宋体"/>
                <w:b w:val="0"/>
                <w:bCs w:val="0"/>
                <w:i w:val="0"/>
                <w:iCs w:val="0"/>
                <w:color w:val="auto"/>
                <w:sz w:val="24"/>
                <w:szCs w:val="24"/>
                <w:highlight w:val="none"/>
                <w:vertAlign w:val="baseline"/>
                <w:lang w:val="en-US" w:eastAsia="zh-CN" w:bidi="ar-SA"/>
              </w:rPr>
              <w:t>）</w:t>
            </w:r>
          </w:p>
          <w:p w14:paraId="3A650759">
            <w:pPr>
              <w:spacing w:line="500" w:lineRule="exact"/>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eastAsia" w:ascii="宋体" w:hAnsi="宋体" w:eastAsia="宋体" w:cs="宋体"/>
                <w:b w:val="0"/>
                <w:bCs w:val="0"/>
                <w:i w:val="0"/>
                <w:iCs w:val="0"/>
                <w:color w:val="auto"/>
                <w:sz w:val="24"/>
                <w:szCs w:val="24"/>
                <w:highlight w:val="none"/>
                <w:vertAlign w:val="baseline"/>
                <w:lang w:val="en-US" w:eastAsia="zh-CN" w:bidi="ar-SA"/>
              </w:rPr>
              <w:t>42、每日资讯：可设置每日简报、每日英语等资讯内容展示。每日简报：设备进入屏保后可展示当日最新最热门的国内外新闻简讯，并显示具体日期；每日英语：设备进入屏保后可展示经典英文佳句，并显示中文翻译及具体出处；</w:t>
            </w:r>
          </w:p>
        </w:tc>
      </w:tr>
      <w:tr w14:paraId="65E17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trPr>
        <w:tc>
          <w:tcPr>
            <w:tcW w:w="1042" w:type="dxa"/>
            <w:tcBorders>
              <w:top w:val="single" w:color="auto" w:sz="4" w:space="0"/>
              <w:left w:val="single" w:color="auto" w:sz="4" w:space="0"/>
              <w:bottom w:val="single" w:color="auto" w:sz="4" w:space="0"/>
              <w:right w:val="single" w:color="auto" w:sz="4" w:space="0"/>
            </w:tcBorders>
            <w:noWrap w:val="0"/>
            <w:vAlign w:val="center"/>
          </w:tcPr>
          <w:p w14:paraId="4E82E79F">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8</w:t>
            </w:r>
          </w:p>
        </w:tc>
        <w:tc>
          <w:tcPr>
            <w:tcW w:w="1819" w:type="dxa"/>
            <w:tcBorders>
              <w:top w:val="single" w:color="auto" w:sz="4" w:space="0"/>
              <w:left w:val="single" w:color="auto" w:sz="4" w:space="0"/>
              <w:bottom w:val="single" w:color="auto" w:sz="4" w:space="0"/>
              <w:right w:val="single" w:color="auto" w:sz="4" w:space="0"/>
            </w:tcBorders>
            <w:noWrap w:val="0"/>
            <w:vAlign w:val="center"/>
          </w:tcPr>
          <w:p w14:paraId="3C16768A">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移动还书车</w:t>
            </w:r>
          </w:p>
          <w:p w14:paraId="762A9750">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（2台）</w:t>
            </w:r>
          </w:p>
        </w:tc>
        <w:tc>
          <w:tcPr>
            <w:tcW w:w="5661" w:type="dxa"/>
            <w:tcBorders>
              <w:top w:val="single" w:color="auto" w:sz="4" w:space="0"/>
              <w:left w:val="single" w:color="auto" w:sz="4" w:space="0"/>
              <w:bottom w:val="single" w:color="auto" w:sz="4" w:space="0"/>
              <w:right w:val="single" w:color="auto" w:sz="4" w:space="0"/>
            </w:tcBorders>
            <w:noWrap w:val="0"/>
            <w:vAlign w:val="top"/>
          </w:tcPr>
          <w:p w14:paraId="66F7CDF5">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技术参数：</w:t>
            </w:r>
          </w:p>
          <w:p w14:paraId="5056C112">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1、材质：电泳铝型材，纤维板，毛毯，超静音耐磨脚轮，不锈钢无缝拉手；</w:t>
            </w:r>
          </w:p>
          <w:p w14:paraId="19050CB5">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2、设备重量：约25kg；</w:t>
            </w:r>
          </w:p>
          <w:p w14:paraId="176B49E3">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3、平台升降高度：≤350mm；</w:t>
            </w:r>
          </w:p>
          <w:p w14:paraId="152EBC92">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4、图书容量：100册，最大承重100KG</w:t>
            </w:r>
          </w:p>
          <w:p w14:paraId="6328523B">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5、整体尺寸：665mm×610mm×780mm（长×宽×高） 含手柄和轮子；</w:t>
            </w:r>
          </w:p>
          <w:p w14:paraId="76878222">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功能要求：</w:t>
            </w:r>
          </w:p>
          <w:p w14:paraId="07E02DD6">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1、外观美观，结构稳定，静音万向轮，后两轮固定方向，方便载重推向，前两轮自由转向带刹车可锁死，防止无意推动，整体设计不易攀爬，防止倾倒；</w:t>
            </w:r>
          </w:p>
          <w:p w14:paraId="5594EF0B">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2、移动轻便，可方便移动，适用不同环境；</w:t>
            </w:r>
          </w:p>
        </w:tc>
      </w:tr>
      <w:tr w14:paraId="2A187B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trPr>
        <w:tc>
          <w:tcPr>
            <w:tcW w:w="1042" w:type="dxa"/>
            <w:tcBorders>
              <w:top w:val="single" w:color="auto" w:sz="4" w:space="0"/>
              <w:left w:val="single" w:color="auto" w:sz="4" w:space="0"/>
              <w:bottom w:val="single" w:color="auto" w:sz="4" w:space="0"/>
              <w:right w:val="single" w:color="auto" w:sz="4" w:space="0"/>
            </w:tcBorders>
            <w:noWrap w:val="0"/>
            <w:vAlign w:val="center"/>
          </w:tcPr>
          <w:p w14:paraId="6DB304BA">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9</w:t>
            </w:r>
          </w:p>
        </w:tc>
        <w:tc>
          <w:tcPr>
            <w:tcW w:w="1819" w:type="dxa"/>
            <w:tcBorders>
              <w:top w:val="single" w:color="auto" w:sz="4" w:space="0"/>
              <w:left w:val="single" w:color="auto" w:sz="4" w:space="0"/>
              <w:bottom w:val="single" w:color="auto" w:sz="4" w:space="0"/>
              <w:right w:val="single" w:color="auto" w:sz="4" w:space="0"/>
            </w:tcBorders>
            <w:noWrap w:val="0"/>
            <w:vAlign w:val="center"/>
          </w:tcPr>
          <w:p w14:paraId="70D58A8A">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点检仪（2台）</w:t>
            </w:r>
          </w:p>
        </w:tc>
        <w:tc>
          <w:tcPr>
            <w:tcW w:w="5661" w:type="dxa"/>
            <w:tcBorders>
              <w:top w:val="single" w:color="auto" w:sz="4" w:space="0"/>
              <w:left w:val="single" w:color="auto" w:sz="4" w:space="0"/>
              <w:bottom w:val="single" w:color="auto" w:sz="4" w:space="0"/>
              <w:right w:val="single" w:color="auto" w:sz="4" w:space="0"/>
            </w:tcBorders>
            <w:noWrap w:val="0"/>
            <w:vAlign w:val="top"/>
          </w:tcPr>
          <w:p w14:paraId="5F7841D9">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功能要求：</w:t>
            </w:r>
          </w:p>
          <w:p w14:paraId="5A59C9AE">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盘点：通过盘点仪对书架上粘贴有RFID标签的流通资料进行扫描，或手动输入临时分组号，实时清点流通资料的数量及查看到所对应的架位、条形码、索引号、状态（正常、错架、未上架）等信息，可对比原架位与当前架位、错架位信息与数量，并支持对图书状态进行变更操作。</w:t>
            </w:r>
            <w:r>
              <w:rPr>
                <w:rFonts w:hint="default" w:ascii="宋体" w:hAnsi="宋体" w:eastAsia="宋体" w:cs="宋体"/>
                <w:b w:val="0"/>
                <w:bCs w:val="0"/>
                <w:i w:val="0"/>
                <w:iCs w:val="0"/>
                <w:color w:val="auto"/>
                <w:sz w:val="24"/>
                <w:szCs w:val="24"/>
                <w:highlight w:val="none"/>
                <w:vertAlign w:val="baseline"/>
                <w:lang w:val="en-US" w:eastAsia="zh-CN" w:bidi="ar-SA"/>
              </w:rPr>
              <w:br w:type="textWrapping"/>
            </w:r>
            <w:r>
              <w:rPr>
                <w:rFonts w:hint="default" w:ascii="宋体" w:hAnsi="宋体" w:eastAsia="宋体" w:cs="宋体"/>
                <w:b w:val="0"/>
                <w:bCs w:val="0"/>
                <w:i w:val="0"/>
                <w:iCs w:val="0"/>
                <w:color w:val="auto"/>
                <w:sz w:val="24"/>
                <w:szCs w:val="24"/>
                <w:highlight w:val="none"/>
                <w:vertAlign w:val="baseline"/>
                <w:lang w:val="en-US" w:eastAsia="zh-CN" w:bidi="ar-SA"/>
              </w:rPr>
              <w:t>2.书本清点：使用RFID技术将扫描到的书本信息、书本所在架位信息读取出来，以列表的形式显示，并进行数量统计。</w:t>
            </w:r>
            <w:r>
              <w:rPr>
                <w:rFonts w:hint="default" w:ascii="宋体" w:hAnsi="宋体" w:eastAsia="宋体" w:cs="宋体"/>
                <w:b w:val="0"/>
                <w:bCs w:val="0"/>
                <w:i w:val="0"/>
                <w:iCs w:val="0"/>
                <w:color w:val="auto"/>
                <w:sz w:val="24"/>
                <w:szCs w:val="24"/>
                <w:highlight w:val="none"/>
                <w:vertAlign w:val="baseline"/>
                <w:lang w:val="en-US" w:eastAsia="zh-CN" w:bidi="ar-SA"/>
              </w:rPr>
              <w:br w:type="textWrapping"/>
            </w:r>
            <w:r>
              <w:rPr>
                <w:rFonts w:hint="default" w:ascii="宋体" w:hAnsi="宋体" w:eastAsia="宋体" w:cs="宋体"/>
                <w:b w:val="0"/>
                <w:bCs w:val="0"/>
                <w:i w:val="0"/>
                <w:iCs w:val="0"/>
                <w:color w:val="auto"/>
                <w:sz w:val="24"/>
                <w:szCs w:val="24"/>
                <w:highlight w:val="none"/>
                <w:vertAlign w:val="baseline"/>
                <w:lang w:val="en-US" w:eastAsia="zh-CN" w:bidi="ar-SA"/>
              </w:rPr>
              <w:t>3.顺架：填入层架标信息再去扫描书本，实现书本信息的显示，如果有书本不在原来的架位，会有新架位号与旧架位号的对比，并可以选择上架，将书本的架位号变更为新架位号，也可以选择不变更。</w:t>
            </w:r>
            <w:r>
              <w:rPr>
                <w:rFonts w:hint="default" w:ascii="宋体" w:hAnsi="宋体" w:eastAsia="宋体" w:cs="宋体"/>
                <w:b w:val="0"/>
                <w:bCs w:val="0"/>
                <w:i w:val="0"/>
                <w:iCs w:val="0"/>
                <w:color w:val="auto"/>
                <w:sz w:val="24"/>
                <w:szCs w:val="24"/>
                <w:highlight w:val="none"/>
                <w:vertAlign w:val="baseline"/>
                <w:lang w:val="en-US" w:eastAsia="zh-CN" w:bidi="ar-SA"/>
              </w:rPr>
              <w:br w:type="textWrapping"/>
            </w:r>
            <w:r>
              <w:rPr>
                <w:rFonts w:hint="default" w:ascii="宋体" w:hAnsi="宋体" w:eastAsia="宋体" w:cs="宋体"/>
                <w:b w:val="0"/>
                <w:bCs w:val="0"/>
                <w:i w:val="0"/>
                <w:iCs w:val="0"/>
                <w:color w:val="auto"/>
                <w:sz w:val="24"/>
                <w:szCs w:val="24"/>
                <w:highlight w:val="none"/>
                <w:vertAlign w:val="baseline"/>
                <w:lang w:val="en-US" w:eastAsia="zh-CN" w:bidi="ar-SA"/>
              </w:rPr>
              <w:t>4.查找：在设备操作系统界面输入书本的条码号、索书号，在查找操作完成后，如果有发现该书本，会在出现的书本信息中有星标显示，并伴有提示音。</w:t>
            </w:r>
            <w:r>
              <w:rPr>
                <w:rFonts w:hint="default" w:ascii="宋体" w:hAnsi="宋体" w:eastAsia="宋体" w:cs="宋体"/>
                <w:b w:val="0"/>
                <w:bCs w:val="0"/>
                <w:i w:val="0"/>
                <w:iCs w:val="0"/>
                <w:color w:val="auto"/>
                <w:sz w:val="24"/>
                <w:szCs w:val="24"/>
                <w:highlight w:val="none"/>
                <w:vertAlign w:val="baseline"/>
                <w:lang w:val="en-US" w:eastAsia="zh-CN" w:bidi="ar-SA"/>
              </w:rPr>
              <w:br w:type="textWrapping"/>
            </w:r>
            <w:r>
              <w:rPr>
                <w:rFonts w:hint="default" w:ascii="宋体" w:hAnsi="宋体" w:eastAsia="宋体" w:cs="宋体"/>
                <w:b w:val="0"/>
                <w:bCs w:val="0"/>
                <w:i w:val="0"/>
                <w:iCs w:val="0"/>
                <w:color w:val="auto"/>
                <w:sz w:val="24"/>
                <w:szCs w:val="24"/>
                <w:highlight w:val="none"/>
                <w:vertAlign w:val="baseline"/>
                <w:lang w:val="en-US" w:eastAsia="zh-CN" w:bidi="ar-SA"/>
              </w:rPr>
              <w:t>5.上架：通过非接触式地快速识别在书架上的层架标标签，实现架位号的填入（也可手动输入），再扫描贴有RFID标签的书本，实现书本的上架，将图书架位信息与书本信息相关联，更新单册位置信息。</w:t>
            </w:r>
            <w:r>
              <w:rPr>
                <w:rFonts w:hint="default" w:ascii="宋体" w:hAnsi="宋体" w:eastAsia="宋体" w:cs="宋体"/>
                <w:b w:val="0"/>
                <w:bCs w:val="0"/>
                <w:i w:val="0"/>
                <w:iCs w:val="0"/>
                <w:color w:val="auto"/>
                <w:sz w:val="24"/>
                <w:szCs w:val="24"/>
                <w:highlight w:val="none"/>
                <w:vertAlign w:val="baseline"/>
                <w:lang w:val="en-US" w:eastAsia="zh-CN" w:bidi="ar-SA"/>
              </w:rPr>
              <w:br w:type="textWrapping"/>
            </w:r>
            <w:r>
              <w:rPr>
                <w:rFonts w:hint="default" w:ascii="宋体" w:hAnsi="宋体" w:eastAsia="宋体" w:cs="宋体"/>
                <w:b w:val="0"/>
                <w:bCs w:val="0"/>
                <w:i w:val="0"/>
                <w:iCs w:val="0"/>
                <w:color w:val="auto"/>
                <w:sz w:val="24"/>
                <w:szCs w:val="24"/>
                <w:highlight w:val="none"/>
                <w:vertAlign w:val="baseline"/>
                <w:lang w:val="en-US" w:eastAsia="zh-CN" w:bidi="ar-SA"/>
              </w:rPr>
              <w:t>6.数据采集：可对盘点过的书目信息生成表单，上传至服务器对表单进行数据分析与统计。</w:t>
            </w:r>
          </w:p>
          <w:p w14:paraId="1DC5D551">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技术要求：</w:t>
            </w:r>
            <w:r>
              <w:rPr>
                <w:rFonts w:hint="default" w:ascii="宋体" w:hAnsi="宋体" w:eastAsia="宋体" w:cs="宋体"/>
                <w:b w:val="0"/>
                <w:bCs w:val="0"/>
                <w:i w:val="0"/>
                <w:iCs w:val="0"/>
                <w:color w:val="auto"/>
                <w:sz w:val="24"/>
                <w:szCs w:val="24"/>
                <w:highlight w:val="none"/>
                <w:vertAlign w:val="baseline"/>
                <w:lang w:val="en-US" w:eastAsia="zh-CN" w:bidi="ar-SA"/>
              </w:rPr>
              <w:br w:type="textWrapping"/>
            </w:r>
            <w:r>
              <w:rPr>
                <w:rFonts w:hint="default" w:ascii="宋体" w:hAnsi="宋体" w:eastAsia="宋体" w:cs="宋体"/>
                <w:b w:val="0"/>
                <w:bCs w:val="0"/>
                <w:i w:val="0"/>
                <w:iCs w:val="0"/>
                <w:color w:val="auto"/>
                <w:sz w:val="24"/>
                <w:szCs w:val="24"/>
                <w:highlight w:val="none"/>
                <w:vertAlign w:val="baseline"/>
                <w:lang w:val="en-US" w:eastAsia="zh-CN" w:bidi="ar-SA"/>
              </w:rPr>
              <w:t>1.工作频率：13.56MHZ。</w:t>
            </w:r>
            <w:r>
              <w:rPr>
                <w:rFonts w:hint="default" w:ascii="宋体" w:hAnsi="宋体" w:eastAsia="宋体" w:cs="宋体"/>
                <w:b w:val="0"/>
                <w:bCs w:val="0"/>
                <w:i w:val="0"/>
                <w:iCs w:val="0"/>
                <w:color w:val="auto"/>
                <w:sz w:val="24"/>
                <w:szCs w:val="24"/>
                <w:highlight w:val="none"/>
                <w:vertAlign w:val="baseline"/>
                <w:lang w:val="en-US" w:eastAsia="zh-CN" w:bidi="ar-SA"/>
              </w:rPr>
              <w:br w:type="textWrapping"/>
            </w:r>
            <w:r>
              <w:rPr>
                <w:rFonts w:hint="default" w:ascii="宋体" w:hAnsi="宋体" w:eastAsia="宋体" w:cs="宋体"/>
                <w:b w:val="0"/>
                <w:bCs w:val="0"/>
                <w:i w:val="0"/>
                <w:iCs w:val="0"/>
                <w:color w:val="auto"/>
                <w:sz w:val="24"/>
                <w:szCs w:val="24"/>
                <w:highlight w:val="none"/>
                <w:vertAlign w:val="baseline"/>
                <w:lang w:val="en-US" w:eastAsia="zh-CN" w:bidi="ar-SA"/>
              </w:rPr>
              <w:t>2.发射功率：0.25~1.5W可调。</w:t>
            </w:r>
            <w:r>
              <w:rPr>
                <w:rFonts w:hint="default" w:ascii="宋体" w:hAnsi="宋体" w:eastAsia="宋体" w:cs="宋体"/>
                <w:b w:val="0"/>
                <w:bCs w:val="0"/>
                <w:i w:val="0"/>
                <w:iCs w:val="0"/>
                <w:color w:val="auto"/>
                <w:sz w:val="24"/>
                <w:szCs w:val="24"/>
                <w:highlight w:val="none"/>
                <w:vertAlign w:val="baseline"/>
                <w:lang w:val="en-US" w:eastAsia="zh-CN" w:bidi="ar-SA"/>
              </w:rPr>
              <w:br w:type="textWrapping"/>
            </w:r>
            <w:r>
              <w:rPr>
                <w:rFonts w:hint="default" w:ascii="宋体" w:hAnsi="宋体" w:eastAsia="宋体" w:cs="宋体"/>
                <w:b w:val="0"/>
                <w:bCs w:val="0"/>
                <w:i w:val="0"/>
                <w:iCs w:val="0"/>
                <w:color w:val="auto"/>
                <w:sz w:val="24"/>
                <w:szCs w:val="24"/>
                <w:highlight w:val="none"/>
                <w:vertAlign w:val="baseline"/>
                <w:lang w:val="en-US" w:eastAsia="zh-CN" w:bidi="ar-SA"/>
              </w:rPr>
              <w:t>3.识别距离：单天线≥35CM。</w:t>
            </w:r>
            <w:r>
              <w:rPr>
                <w:rFonts w:hint="default" w:ascii="宋体" w:hAnsi="宋体" w:eastAsia="宋体" w:cs="宋体"/>
                <w:b w:val="0"/>
                <w:bCs w:val="0"/>
                <w:i w:val="0"/>
                <w:iCs w:val="0"/>
                <w:color w:val="auto"/>
                <w:sz w:val="24"/>
                <w:szCs w:val="24"/>
                <w:highlight w:val="none"/>
                <w:vertAlign w:val="baseline"/>
                <w:lang w:val="en-US" w:eastAsia="zh-CN" w:bidi="ar-SA"/>
              </w:rPr>
              <w:br w:type="textWrapping"/>
            </w:r>
            <w:r>
              <w:rPr>
                <w:rFonts w:hint="default" w:ascii="宋体" w:hAnsi="宋体" w:eastAsia="宋体" w:cs="宋体"/>
                <w:b w:val="0"/>
                <w:bCs w:val="0"/>
                <w:i w:val="0"/>
                <w:iCs w:val="0"/>
                <w:color w:val="auto"/>
                <w:sz w:val="24"/>
                <w:szCs w:val="24"/>
                <w:highlight w:val="none"/>
                <w:vertAlign w:val="baseline"/>
                <w:lang w:val="en-US" w:eastAsia="zh-CN" w:bidi="ar-SA"/>
              </w:rPr>
              <w:t>4.识别速度：≥50张/秒。</w:t>
            </w:r>
            <w:r>
              <w:rPr>
                <w:rFonts w:hint="default" w:ascii="宋体" w:hAnsi="宋体" w:eastAsia="宋体" w:cs="宋体"/>
                <w:b w:val="0"/>
                <w:bCs w:val="0"/>
                <w:i w:val="0"/>
                <w:iCs w:val="0"/>
                <w:color w:val="auto"/>
                <w:sz w:val="24"/>
                <w:szCs w:val="24"/>
                <w:highlight w:val="none"/>
                <w:vertAlign w:val="baseline"/>
                <w:lang w:val="en-US" w:eastAsia="zh-CN" w:bidi="ar-SA"/>
              </w:rPr>
              <w:br w:type="textWrapping"/>
            </w:r>
            <w:r>
              <w:rPr>
                <w:rFonts w:hint="default" w:ascii="宋体" w:hAnsi="宋体" w:eastAsia="宋体" w:cs="宋体"/>
                <w:b w:val="0"/>
                <w:bCs w:val="0"/>
                <w:i w:val="0"/>
                <w:iCs w:val="0"/>
                <w:color w:val="auto"/>
                <w:sz w:val="24"/>
                <w:szCs w:val="24"/>
                <w:highlight w:val="none"/>
                <w:vertAlign w:val="baseline"/>
                <w:lang w:val="en-US" w:eastAsia="zh-CN" w:bidi="ar-SA"/>
              </w:rPr>
              <w:t>5.通讯接口：USB、蓝牙、WIFI。</w:t>
            </w:r>
            <w:r>
              <w:rPr>
                <w:rFonts w:hint="default" w:ascii="宋体" w:hAnsi="宋体" w:eastAsia="宋体" w:cs="宋体"/>
                <w:b w:val="0"/>
                <w:bCs w:val="0"/>
                <w:i w:val="0"/>
                <w:iCs w:val="0"/>
                <w:color w:val="auto"/>
                <w:sz w:val="24"/>
                <w:szCs w:val="24"/>
                <w:highlight w:val="none"/>
                <w:vertAlign w:val="baseline"/>
                <w:lang w:val="en-US" w:eastAsia="zh-CN" w:bidi="ar-SA"/>
              </w:rPr>
              <w:br w:type="textWrapping"/>
            </w:r>
            <w:r>
              <w:rPr>
                <w:rFonts w:hint="default" w:ascii="宋体" w:hAnsi="宋体" w:eastAsia="宋体" w:cs="宋体"/>
                <w:b w:val="0"/>
                <w:bCs w:val="0"/>
                <w:i w:val="0"/>
                <w:iCs w:val="0"/>
                <w:color w:val="auto"/>
                <w:sz w:val="24"/>
                <w:szCs w:val="24"/>
                <w:highlight w:val="none"/>
                <w:vertAlign w:val="baseline"/>
                <w:lang w:val="en-US" w:eastAsia="zh-CN" w:bidi="ar-SA"/>
              </w:rPr>
              <w:t>6.具有防碰撞算法，可快速读取多标签。</w:t>
            </w:r>
            <w:r>
              <w:rPr>
                <w:rFonts w:hint="default" w:ascii="宋体" w:hAnsi="宋体" w:eastAsia="宋体" w:cs="宋体"/>
                <w:b w:val="0"/>
                <w:bCs w:val="0"/>
                <w:i w:val="0"/>
                <w:iCs w:val="0"/>
                <w:color w:val="auto"/>
                <w:sz w:val="24"/>
                <w:szCs w:val="24"/>
                <w:highlight w:val="none"/>
                <w:vertAlign w:val="baseline"/>
                <w:lang w:val="en-US" w:eastAsia="zh-CN" w:bidi="ar-SA"/>
              </w:rPr>
              <w:br w:type="textWrapping"/>
            </w:r>
            <w:r>
              <w:rPr>
                <w:rFonts w:hint="default" w:ascii="宋体" w:hAnsi="宋体" w:eastAsia="宋体" w:cs="宋体"/>
                <w:b w:val="0"/>
                <w:bCs w:val="0"/>
                <w:i w:val="0"/>
                <w:iCs w:val="0"/>
                <w:color w:val="auto"/>
                <w:sz w:val="24"/>
                <w:szCs w:val="24"/>
                <w:highlight w:val="none"/>
                <w:vertAlign w:val="baseline"/>
                <w:lang w:val="en-US" w:eastAsia="zh-CN" w:bidi="ar-SA"/>
              </w:rPr>
              <w:t>7.工作模式：主机模式，扫描模式。</w:t>
            </w:r>
            <w:r>
              <w:rPr>
                <w:rFonts w:hint="default" w:ascii="宋体" w:hAnsi="宋体" w:eastAsia="宋体" w:cs="宋体"/>
                <w:b w:val="0"/>
                <w:bCs w:val="0"/>
                <w:i w:val="0"/>
                <w:iCs w:val="0"/>
                <w:color w:val="auto"/>
                <w:sz w:val="24"/>
                <w:szCs w:val="24"/>
                <w:highlight w:val="none"/>
                <w:vertAlign w:val="baseline"/>
                <w:lang w:val="en-US" w:eastAsia="zh-CN" w:bidi="ar-SA"/>
              </w:rPr>
              <w:br w:type="textWrapping"/>
            </w:r>
            <w:r>
              <w:rPr>
                <w:rFonts w:hint="default" w:ascii="宋体" w:hAnsi="宋体" w:eastAsia="宋体" w:cs="宋体"/>
                <w:b w:val="0"/>
                <w:bCs w:val="0"/>
                <w:i w:val="0"/>
                <w:iCs w:val="0"/>
                <w:color w:val="auto"/>
                <w:sz w:val="24"/>
                <w:szCs w:val="24"/>
                <w:highlight w:val="none"/>
                <w:vertAlign w:val="baseline"/>
                <w:lang w:val="en-US" w:eastAsia="zh-CN" w:bidi="ar-SA"/>
              </w:rPr>
              <w:t>8.屏幕规格：≥11英寸16：10；长≥255.53mm；宽≥167.08mm；厚≥7.36mm；</w:t>
            </w:r>
          </w:p>
          <w:p w14:paraId="20B5CFA4">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9.分辨率：≥1920x1200；</w:t>
            </w:r>
          </w:p>
          <w:p w14:paraId="6D55D884">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10.接口：Type-C；</w:t>
            </w:r>
          </w:p>
          <w:p w14:paraId="65F2BE3E">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11.CPU：高通骁龙®680，八核，主频2.4GHz，运行内存≥6G，内存容量≥128G</w:t>
            </w:r>
          </w:p>
          <w:p w14:paraId="66D64153">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12.电池容量：≥8000mAh；</w:t>
            </w:r>
          </w:p>
          <w:p w14:paraId="14D290C3">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13.充电续航：支持18W有线快充，标配10W充电器；</w:t>
            </w:r>
          </w:p>
          <w:p w14:paraId="3F9D7BA0">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14.操作系统：Android;</w:t>
            </w:r>
          </w:p>
          <w:p w14:paraId="4777B8AB">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15.连接方式：Wi-Fi；</w:t>
            </w:r>
          </w:p>
          <w:p w14:paraId="15F19F98">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16.摄像头：前置≥500W，后置≥800W；</w:t>
            </w:r>
          </w:p>
          <w:p w14:paraId="685C506D">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17.扬声器：≥4个；</w:t>
            </w:r>
          </w:p>
          <w:p w14:paraId="52DC59F3">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18.要求设备扫描仪的天线部分可弯曲，便于上下多层书架的操作；</w:t>
            </w:r>
          </w:p>
          <w:p w14:paraId="3AE4235A">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19.要求具有防碰撞算法，可同时快速读取多个标签；</w:t>
            </w:r>
          </w:p>
          <w:p w14:paraId="31A819A1">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20.系统要求支持图书馆后台管理系统，可以与图书馆的图书管理系统无缝连接；</w:t>
            </w:r>
          </w:p>
        </w:tc>
      </w:tr>
      <w:tr w14:paraId="7622A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1042" w:type="dxa"/>
            <w:tcBorders>
              <w:top w:val="single" w:color="auto" w:sz="4" w:space="0"/>
              <w:left w:val="single" w:color="auto" w:sz="4" w:space="0"/>
              <w:bottom w:val="single" w:color="auto" w:sz="4" w:space="0"/>
              <w:right w:val="single" w:color="auto" w:sz="4" w:space="0"/>
            </w:tcBorders>
            <w:noWrap w:val="0"/>
            <w:vAlign w:val="center"/>
          </w:tcPr>
          <w:p w14:paraId="53AA3286">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10</w:t>
            </w:r>
          </w:p>
        </w:tc>
        <w:tc>
          <w:tcPr>
            <w:tcW w:w="1819" w:type="dxa"/>
            <w:tcBorders>
              <w:top w:val="single" w:color="auto" w:sz="4" w:space="0"/>
              <w:left w:val="single" w:color="auto" w:sz="4" w:space="0"/>
              <w:bottom w:val="single" w:color="auto" w:sz="4" w:space="0"/>
              <w:right w:val="single" w:color="auto" w:sz="4" w:space="0"/>
            </w:tcBorders>
            <w:noWrap w:val="0"/>
            <w:vAlign w:val="center"/>
          </w:tcPr>
          <w:p w14:paraId="6332247A">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盘点软件（1套）</w:t>
            </w:r>
          </w:p>
        </w:tc>
        <w:tc>
          <w:tcPr>
            <w:tcW w:w="5661" w:type="dxa"/>
            <w:tcBorders>
              <w:top w:val="single" w:color="auto" w:sz="4" w:space="0"/>
              <w:left w:val="single" w:color="auto" w:sz="4" w:space="0"/>
              <w:bottom w:val="single" w:color="auto" w:sz="4" w:space="0"/>
              <w:right w:val="single" w:color="auto" w:sz="4" w:space="0"/>
            </w:tcBorders>
            <w:noWrap w:val="0"/>
            <w:vAlign w:val="center"/>
          </w:tcPr>
          <w:p w14:paraId="5AD7F91E">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1、支持协议：要求符合TCP/IP联网协议、SIPⅡ国际标准协议、NCIP协议等接口与图书馆端数据库进行数据交换，确保系统安全；支持ISO15693和ISO18000-3标准；</w:t>
            </w:r>
          </w:p>
          <w:p w14:paraId="7A8ED5C8">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2、要求具有非接触式地快速识别粘贴在流通资料上的RFID标签和层标、架标，完成盘点、查找等功能。</w:t>
            </w:r>
          </w:p>
          <w:p w14:paraId="2CAA4CEE">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3、盘点：要求具有盘点层架上的当前书刊信息，生成在架图书列表，同时标记书刊馆藏位置信息并标记位置异常书刊、新增书刊、以及状态异常（丢失、外借、剔旧、已移除、污损）的书刊信息功能；</w:t>
            </w:r>
          </w:p>
          <w:p w14:paraId="157B29B0">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4、查找：要求具有通过选择书名、条形码号、标签，查找符合搜索条件的书刊信息及位置功能；</w:t>
            </w:r>
          </w:p>
          <w:p w14:paraId="78F6C5FF">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5、上架：要求具有层架信息与书刊信息相关联，更新书刊位置信息，对扫描到的异常状态（丢失、外借、剔旧、已移除、污损）的书刊进行标记，允许重新上架功能；</w:t>
            </w:r>
          </w:p>
          <w:p w14:paraId="5941C3B0">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 xml:space="preserve">6、剔旧：要求具有在管理平台上对书刊信息进行批量剔旧，生成表单下载到点检仪中，对在架图书进行盘点或上架时，遇到表单上的图书进行提示的功能；可根据显示平台拉取到的剔旧列表，扫描到列表上剔旧书刊进行移除，可以对需要剔旧的书刊直接扫描移除，上传数据；  </w:t>
            </w:r>
          </w:p>
          <w:p w14:paraId="75785291">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7、手持设备在找到目标图书、定位正确架位、发生报警提示时都必须同时提供声音、画面和灯光提示，声音音量可以调节；</w:t>
            </w:r>
          </w:p>
          <w:p w14:paraId="6863C8BF">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8、修改层架标：要求具有修改条码信息，以及层架描述功能，可对层架标进行批量删除操作；</w:t>
            </w:r>
          </w:p>
          <w:p w14:paraId="17E54D45">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9、统计分析：要求扫描书刊，即可显示书刊详情，借阅次数，以及借阅记录；</w:t>
            </w:r>
          </w:p>
          <w:p w14:paraId="42ACE3F9">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10、馆藏地：要求具有切换馆藏地功能；</w:t>
            </w:r>
          </w:p>
          <w:p w14:paraId="25755E87">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11、预约列表：要求可对条码、书名、借阅证号、读者标签、预借状态等进行查找，筛选符合信息的数据，对属于预借状态的书刊，提供声音和图形界面的报警功能；</w:t>
            </w:r>
          </w:p>
          <w:p w14:paraId="4B2FE1D0">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 xml:space="preserve">12、取消关联：要求具有对指定层架所绑定的书刊进行解绑的功能，可输入所需解绑位置的书刊的条码、或扫描书刊标签，对其进行解绑； </w:t>
            </w:r>
          </w:p>
          <w:p w14:paraId="009C5AAE">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13、清除缓存：图书上架，盘点等数据均可保存至本地，为避免长时间未操作出现数据丢失而增加工作量，要求具有清除本地缓存数据功能；</w:t>
            </w:r>
          </w:p>
          <w:p w14:paraId="256AE173">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14、上传数据：所有操作包括上架、盘点、剔除等操作数据，需点击上传数据，数据便可同步至管理平台；</w:t>
            </w:r>
          </w:p>
          <w:p w14:paraId="5751E10A">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15、数据下载：要求具有数据下载功能，可实时获取平台最新数据；</w:t>
            </w:r>
          </w:p>
        </w:tc>
      </w:tr>
      <w:tr w14:paraId="1DC22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4" w:hRule="atLeast"/>
        </w:trPr>
        <w:tc>
          <w:tcPr>
            <w:tcW w:w="1042" w:type="dxa"/>
            <w:tcBorders>
              <w:top w:val="single" w:color="auto" w:sz="4" w:space="0"/>
              <w:left w:val="single" w:color="auto" w:sz="4" w:space="0"/>
              <w:bottom w:val="single" w:color="auto" w:sz="4" w:space="0"/>
              <w:right w:val="single" w:color="auto" w:sz="4" w:space="0"/>
            </w:tcBorders>
            <w:noWrap w:val="0"/>
            <w:vAlign w:val="center"/>
          </w:tcPr>
          <w:p w14:paraId="7F2E77CE">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11</w:t>
            </w:r>
          </w:p>
        </w:tc>
        <w:tc>
          <w:tcPr>
            <w:tcW w:w="1819" w:type="dxa"/>
            <w:tcBorders>
              <w:top w:val="single" w:color="auto" w:sz="4" w:space="0"/>
              <w:left w:val="single" w:color="auto" w:sz="4" w:space="0"/>
              <w:bottom w:val="single" w:color="auto" w:sz="4" w:space="0"/>
              <w:right w:val="single" w:color="auto" w:sz="4" w:space="0"/>
            </w:tcBorders>
            <w:noWrap w:val="0"/>
            <w:vAlign w:val="top"/>
          </w:tcPr>
          <w:p w14:paraId="6EFC532E">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p>
          <w:p w14:paraId="3E1C7565">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p>
          <w:p w14:paraId="330B4E88">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p>
          <w:p w14:paraId="77F4C2BF">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p>
          <w:p w14:paraId="7DE561FB">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p>
          <w:p w14:paraId="25955552">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p>
          <w:p w14:paraId="14A5FBE0">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p>
          <w:p w14:paraId="7923FD95">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p>
          <w:p w14:paraId="18A7084E">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p>
          <w:p w14:paraId="246183E0">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RFID图书定位系统+层架标签（2000个）</w:t>
            </w:r>
          </w:p>
        </w:tc>
        <w:tc>
          <w:tcPr>
            <w:tcW w:w="5661" w:type="dxa"/>
            <w:tcBorders>
              <w:top w:val="single" w:color="auto" w:sz="4" w:space="0"/>
              <w:left w:val="single" w:color="auto" w:sz="4" w:space="0"/>
              <w:bottom w:val="single" w:color="auto" w:sz="4" w:space="0"/>
              <w:right w:val="single" w:color="auto" w:sz="4" w:space="0"/>
            </w:tcBorders>
            <w:noWrap w:val="0"/>
            <w:vAlign w:val="top"/>
          </w:tcPr>
          <w:p w14:paraId="429B083F">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图书定位系统：</w:t>
            </w:r>
          </w:p>
          <w:p w14:paraId="398244A3">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1、通过窗口、服务设施查询实现对地图的查看和导览。</w:t>
            </w:r>
          </w:p>
          <w:p w14:paraId="28F942BC">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2、导航软件能够嵌入到图书馆现有的OPAC查询系统，在读者检索图示信息时，提供路径规划指引；</w:t>
            </w:r>
          </w:p>
          <w:p w14:paraId="792316BE">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3、导航内容至少包括文献所载书架的区域位置、书架位置、具体所在书架的层标信息；</w:t>
            </w:r>
          </w:p>
          <w:p w14:paraId="2154D89F">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4、系统提供接口，与图书馆移动盘点设备的数据上传软件对接；</w:t>
            </w:r>
          </w:p>
          <w:p w14:paraId="62BC45F0">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5、用户可以在地图中选择要导航的地点，或根据图书检索结果，一键导航至目的地，系统会自动为用户提供一条最优的路径，指引用户进行导航；</w:t>
            </w:r>
          </w:p>
          <w:p w14:paraId="5C9E45C6">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6、检索：与后台自动化系统的文件检索系统无缝集成，实现图书的检索、定位、二维及 3D 模式的导航等功能，可以帮助读者快捷找到图书；</w:t>
            </w:r>
          </w:p>
          <w:p w14:paraId="0847DC7A">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7、架构：采用B/S 架构，用于图书馆检索查询设备，读者可以输入图书的名称进行检索；</w:t>
            </w:r>
          </w:p>
          <w:p w14:paraId="25D3BF64">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8、定位查找：可获取书名、作者、 版本、是否在馆等基本信息，可精确查询到所要图书当前在哪个书架的哪一层；</w:t>
            </w:r>
          </w:p>
          <w:p w14:paraId="1C0CE9D0">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9、导航：地图导览中提供2D/3D地图切换功能，方便用户以不同视角体验和查看地图；</w:t>
            </w:r>
          </w:p>
          <w:p w14:paraId="1CE06B27">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10、地图浏览：可以放大、缩小、平移、翻转；</w:t>
            </w:r>
          </w:p>
          <w:p w14:paraId="0B802636">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11、控制数量设置：可以控制查询显示的书目数量跳转到指定页面；</w:t>
            </w:r>
          </w:p>
          <w:p w14:paraId="148A7645">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12、密码设置：可配置指定的退出密码；</w:t>
            </w:r>
          </w:p>
          <w:p w14:paraId="4278CE9A">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13、时间指示：可配置图书馆开馆、闭馆时间的指示；</w:t>
            </w:r>
          </w:p>
          <w:p w14:paraId="30203D80">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14、显示：可显示关于本馆的介绍或者本馆的平面图。</w:t>
            </w:r>
          </w:p>
          <w:p w14:paraId="71BDC305">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p>
          <w:p w14:paraId="29360DC0">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层架标签：</w:t>
            </w:r>
          </w:p>
          <w:p w14:paraId="223B0068">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1、RFID层架标签能够方便的贴在书架上，包括各种材质的书架，如金属或者木制书架；</w:t>
            </w:r>
          </w:p>
          <w:p w14:paraId="0CBABE24">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2、工作频率：13.56MHz；</w:t>
            </w:r>
          </w:p>
          <w:p w14:paraId="7F994B02">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3、支持协议：ISO15693；</w:t>
            </w:r>
          </w:p>
          <w:p w14:paraId="0B89D799">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4、产品尺寸: 85mm*22mm*7mm；</w:t>
            </w:r>
          </w:p>
          <w:p w14:paraId="1CF98E1D">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5、芯片：I CODE SLIX；</w:t>
            </w:r>
          </w:p>
          <w:p w14:paraId="4CBA2B6B">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6、内存容量：≥1024Bits；</w:t>
            </w:r>
          </w:p>
          <w:p w14:paraId="215B4B47">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7、有效使用寿命：≥10 年；</w:t>
            </w:r>
          </w:p>
          <w:p w14:paraId="02EACEC9">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8、有效使用次数：≥10万次；</w:t>
            </w:r>
          </w:p>
          <w:p w14:paraId="23AE1C62">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9、工作模式：可读写；</w:t>
            </w:r>
          </w:p>
          <w:p w14:paraId="423EFEB7">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10、材料：ABS；</w:t>
            </w:r>
          </w:p>
          <w:p w14:paraId="0482EF5D">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11、读写距离：2-10cm(取决不同环境和读写器)；</w:t>
            </w:r>
          </w:p>
          <w:p w14:paraId="2EA38F19">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12、读写时间：1-2ms；</w:t>
            </w:r>
          </w:p>
          <w:p w14:paraId="67BE7836">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13、标签为无源标签，无需电池；</w:t>
            </w:r>
          </w:p>
          <w:p w14:paraId="13A3F177">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14、标签中有存储器，存储在其中的资料可重复读、写；</w:t>
            </w:r>
          </w:p>
          <w:p w14:paraId="24467C6D">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15、标签可以非接触式的读取和写入；</w:t>
            </w:r>
          </w:p>
          <w:p w14:paraId="26041FB9">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16、标签具有防电磁屏蔽，适用于图书馆的通用书架，表面可打印相关信息；</w:t>
            </w:r>
          </w:p>
          <w:p w14:paraId="6BE9F18B">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17、标签具有较高的安全性，有不可改写的唯一序列号（UID）供识别和加密，防止存储在其中的信息资料被随意读取或改写；</w:t>
            </w:r>
          </w:p>
          <w:p w14:paraId="08F0A80C">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18、用户可自定义数据格式和内容，具有良好的数据扩展性；</w:t>
            </w:r>
          </w:p>
          <w:p w14:paraId="2CBD24B7">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19、标签里面储存的数据保存≥10年；</w:t>
            </w:r>
          </w:p>
          <w:p w14:paraId="7B73B243">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20、支持盘点、顺架、倒架、上架功能。</w:t>
            </w:r>
          </w:p>
          <w:p w14:paraId="70112174">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21、标签固有频率误差率小于或等于±300K Hz范围；</w:t>
            </w:r>
          </w:p>
          <w:p w14:paraId="4697FBA8">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22、标签自带单面背胶，须采用3M粘力较强胶水，胶水对书架表面无损害，保证在保质期内（10年）不开胶脱落；</w:t>
            </w:r>
          </w:p>
          <w:p w14:paraId="75E3F565">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23、标签上可印制由图书馆提供的LOGO图案；</w:t>
            </w:r>
          </w:p>
          <w:p w14:paraId="12E4F804">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p>
          <w:p w14:paraId="18084D4C">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p>
        </w:tc>
      </w:tr>
      <w:tr w14:paraId="31703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trPr>
        <w:tc>
          <w:tcPr>
            <w:tcW w:w="1042" w:type="dxa"/>
            <w:tcBorders>
              <w:top w:val="single" w:color="auto" w:sz="4" w:space="0"/>
              <w:left w:val="single" w:color="auto" w:sz="4" w:space="0"/>
              <w:bottom w:val="single" w:color="auto" w:sz="4" w:space="0"/>
              <w:right w:val="single" w:color="auto" w:sz="4" w:space="0"/>
            </w:tcBorders>
            <w:noWrap w:val="0"/>
            <w:vAlign w:val="center"/>
          </w:tcPr>
          <w:p w14:paraId="56B1ADB0">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12</w:t>
            </w:r>
          </w:p>
        </w:tc>
        <w:tc>
          <w:tcPr>
            <w:tcW w:w="1819" w:type="dxa"/>
            <w:tcBorders>
              <w:top w:val="single" w:color="auto" w:sz="4" w:space="0"/>
              <w:left w:val="single" w:color="auto" w:sz="4" w:space="0"/>
              <w:bottom w:val="single" w:color="auto" w:sz="4" w:space="0"/>
              <w:right w:val="single" w:color="auto" w:sz="4" w:space="0"/>
            </w:tcBorders>
            <w:noWrap w:val="0"/>
            <w:vAlign w:val="center"/>
          </w:tcPr>
          <w:p w14:paraId="04D22701">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大数据统计显示系统（1套）</w:t>
            </w:r>
          </w:p>
        </w:tc>
        <w:tc>
          <w:tcPr>
            <w:tcW w:w="5661" w:type="dxa"/>
            <w:tcBorders>
              <w:top w:val="single" w:color="auto" w:sz="4" w:space="0"/>
              <w:left w:val="single" w:color="auto" w:sz="4" w:space="0"/>
              <w:bottom w:val="single" w:color="auto" w:sz="4" w:space="0"/>
              <w:right w:val="single" w:color="auto" w:sz="4" w:space="0"/>
            </w:tcBorders>
            <w:noWrap w:val="0"/>
            <w:vAlign w:val="top"/>
          </w:tcPr>
          <w:p w14:paraId="6F60BED6">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数量要求：液晶屏，2个100寸LED 液晶屏。</w:t>
            </w:r>
          </w:p>
          <w:p w14:paraId="1D7CB351">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功能要求：</w:t>
            </w:r>
          </w:p>
          <w:p w14:paraId="6281C903">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 xml:space="preserve">1、显示模式：系统要求具有全屏/窗口一键切换模式功能；  </w:t>
            </w:r>
          </w:p>
          <w:p w14:paraId="18FEDA4B">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2、系统设置：系统要求允许设置、变更服务器地址；具有同时显示单个、多个馆的数据以及数据统计、排序、对比的功能；</w:t>
            </w:r>
          </w:p>
          <w:p w14:paraId="4CAD6E21">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3、单组织数据可视化图表</w:t>
            </w:r>
          </w:p>
          <w:p w14:paraId="4903CE5A">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3.1、模块化科技感UI样式设计、动态图表展示、实时数据刷新；</w:t>
            </w:r>
          </w:p>
          <w:p w14:paraId="4E17A3FE">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3.2、提供组织名称展示、读者总数、藏书量、本月借阅人次/历史借阅人次、今日到馆人次/历史到馆人次、人均藏书数；</w:t>
            </w:r>
          </w:p>
          <w:p w14:paraId="5F61AA48">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3.3、馆藏分类统计图表：依据中图法分类规范，展示馆藏图书的分类构成占比；</w:t>
            </w:r>
          </w:p>
          <w:p w14:paraId="34C9503B">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3.4、馆藏分布：图书在借、预借状态分布情况；</w:t>
            </w:r>
          </w:p>
          <w:p w14:paraId="0C370085">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3.5、馆藏利用率：借阅图书与图书总数比值；</w:t>
            </w:r>
          </w:p>
          <w:p w14:paraId="738967EF">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3.6、借阅排行：书刊借阅排行、个人借阅排行、部门借阅排行，滚动展示；</w:t>
            </w:r>
          </w:p>
          <w:p w14:paraId="6C13174C">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3.7、图书推荐：基于借阅大数据分析算法的热门推荐、新书推荐；</w:t>
            </w:r>
          </w:p>
          <w:p w14:paraId="3D37619D">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3.8、系统显示：当地时间、日期；</w:t>
            </w:r>
          </w:p>
          <w:p w14:paraId="62C74CDF">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4、多组织/区域数据可视化图表：辖区的综合数据、各个馆之间的数据对比与排序</w:t>
            </w:r>
          </w:p>
          <w:p w14:paraId="3C386164">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4.1、统计辖区内多个组织的数据总和，模块化科技感UI样式设计、动态图表展示、实时数据刷新；</w:t>
            </w:r>
          </w:p>
          <w:p w14:paraId="742AEEB8">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4.2、馆藏数、读者数、本月借阅人数/本年借阅人数、本年上新数/馆藏总数；</w:t>
            </w:r>
          </w:p>
          <w:p w14:paraId="51E1DEE8">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4.3、展示基于辖区内组织大数据的借阅排行榜、馆藏排行榜、各组织读者人数、各组织智慧设备部署数；</w:t>
            </w:r>
          </w:p>
          <w:p w14:paraId="692D4446">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4.4、读者排行：辖区内各组织的活跃读者排行榜；</w:t>
            </w:r>
          </w:p>
          <w:p w14:paraId="309AEC79">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4.5、图书利用率：借阅图书与图书总数比值；</w:t>
            </w:r>
          </w:p>
          <w:p w14:paraId="463BE206">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4.6、借阅分类：依据中图法分类规范，展示用户借阅图书的分类构成占比；</w:t>
            </w:r>
          </w:p>
          <w:p w14:paraId="3A534314">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4.7、活跃榜单：可展示近6个月组织阅读借阅人次活跃榜；</w:t>
            </w:r>
          </w:p>
          <w:p w14:paraId="337B442F">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4.8、自定义模块：支持自定义区域智慧图书馆建设进展简述、区域云图介绍等信息；</w:t>
            </w:r>
          </w:p>
          <w:p w14:paraId="1F8E3C2B">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4.9、系统显示：时间、日期、当地天气；</w:t>
            </w:r>
          </w:p>
        </w:tc>
      </w:tr>
      <w:tr w14:paraId="41E8E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42" w:type="dxa"/>
            <w:tcBorders>
              <w:top w:val="single" w:color="auto" w:sz="4" w:space="0"/>
              <w:left w:val="single" w:color="auto" w:sz="4" w:space="0"/>
              <w:bottom w:val="single" w:color="auto" w:sz="4" w:space="0"/>
              <w:right w:val="single" w:color="auto" w:sz="4" w:space="0"/>
            </w:tcBorders>
            <w:noWrap w:val="0"/>
            <w:vAlign w:val="center"/>
          </w:tcPr>
          <w:p w14:paraId="29430C72">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13</w:t>
            </w:r>
          </w:p>
        </w:tc>
        <w:tc>
          <w:tcPr>
            <w:tcW w:w="1819" w:type="dxa"/>
            <w:tcBorders>
              <w:top w:val="single" w:color="auto" w:sz="4" w:space="0"/>
              <w:left w:val="single" w:color="auto" w:sz="4" w:space="0"/>
              <w:bottom w:val="single" w:color="auto" w:sz="4" w:space="0"/>
              <w:right w:val="single" w:color="auto" w:sz="4" w:space="0"/>
            </w:tcBorders>
            <w:noWrap w:val="0"/>
            <w:vAlign w:val="center"/>
          </w:tcPr>
          <w:p w14:paraId="401EE208">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图书检索机（2台）</w:t>
            </w:r>
          </w:p>
        </w:tc>
        <w:tc>
          <w:tcPr>
            <w:tcW w:w="5661" w:type="dxa"/>
            <w:tcBorders>
              <w:top w:val="single" w:color="auto" w:sz="4" w:space="0"/>
              <w:left w:val="single" w:color="auto" w:sz="4" w:space="0"/>
              <w:bottom w:val="single" w:color="auto" w:sz="4" w:space="0"/>
              <w:right w:val="single" w:color="auto" w:sz="4" w:space="0"/>
            </w:tcBorders>
            <w:noWrap w:val="0"/>
            <w:vAlign w:val="top"/>
          </w:tcPr>
          <w:p w14:paraId="7CDECACA">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技术参数：</w:t>
            </w:r>
          </w:p>
          <w:p w14:paraId="7CD16F03">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1、检索查询机为读者提供基本的信息查询功能，读者可以检索图书馆内的馆藏信息，也可浏览图书馆最新公布信息，联网后还可登录网站进行咨询和获取图书馆提供的数字资源等。</w:t>
            </w:r>
          </w:p>
          <w:p w14:paraId="42117567">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2、材质：铝型材，冷轧钢板、不易变形、机柜与固定背板部件结合紧密；</w:t>
            </w:r>
          </w:p>
          <w:p w14:paraId="741C8CD2">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3、屏幕尺寸：32寸（16:9）及以上红外多点触摸LED液晶屏；定位精度：≤2mm；</w:t>
            </w:r>
          </w:p>
          <w:p w14:paraId="09524326">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4、主机配置：因特尔酷睿I3处理器及以上，内存：4GDDR3，系统存储：128GSSD及以上；</w:t>
            </w:r>
          </w:p>
          <w:p w14:paraId="4F54FE49">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5、接口配置：LAN有线网口 RJ45八芯标准接口，WiFi 2.4GHz，USB*1，HDMI(out)*1；</w:t>
            </w:r>
          </w:p>
          <w:p w14:paraId="6F87197D">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6、整机功率：≤200W；</w:t>
            </w:r>
          </w:p>
          <w:p w14:paraId="50D2C8D4">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7、工作温度：-10℃～50℃；</w:t>
            </w:r>
          </w:p>
          <w:p w14:paraId="13D78F09">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8、储存温度：-20℃～60℃；</w:t>
            </w:r>
          </w:p>
          <w:p w14:paraId="3A75EEC4">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9、相对湿度：5%～80%；</w:t>
            </w:r>
          </w:p>
          <w:p w14:paraId="08A0533A">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10、功放：立体功放，2*10W音箱，内磁式；</w:t>
            </w:r>
          </w:p>
          <w:p w14:paraId="08A7B545">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11、分辨率：1920*1080</w:t>
            </w:r>
          </w:p>
          <w:p w14:paraId="5A91A5B2">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功能要求：</w:t>
            </w:r>
          </w:p>
          <w:p w14:paraId="531E97BA">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12、通过此系统可进行图书信息、借阅情况等的查询，该系统还具有预约、催还、续借等功能；</w:t>
            </w:r>
          </w:p>
          <w:p w14:paraId="74CDB00E">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13、读者可以查询所有馆藏书刊的馆藏地信息、书刊信息状态。该查询系统提供了题名、著者、索取号、出版社等多个检索入口；</w:t>
            </w:r>
          </w:p>
          <w:p w14:paraId="3EC17C10">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14、读者可以输入证件号和密码，登陆该查询系统，查看本人的适用规则、借阅书刊信息、借阅历史等；</w:t>
            </w:r>
          </w:p>
          <w:p w14:paraId="604D19E7">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15、可以显示所有馆藏地近期到馆的新图书，用户可以设置查询的指定馆藏地或时间；</w:t>
            </w:r>
          </w:p>
          <w:p w14:paraId="3E9F4319">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16、服务器根据读者适用规则自动检测读者借阅图书是否超期，并将超期读者的姓名等信息显示在相关页面中，提醒读者到图书馆办理还书手续。</w:t>
            </w:r>
          </w:p>
        </w:tc>
      </w:tr>
      <w:tr w14:paraId="7B4E2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3"/>
            <w:tcBorders>
              <w:top w:val="single" w:color="auto" w:sz="4" w:space="0"/>
              <w:left w:val="single" w:color="auto" w:sz="4" w:space="0"/>
              <w:bottom w:val="single" w:color="auto" w:sz="4" w:space="0"/>
              <w:right w:val="single" w:color="auto" w:sz="4" w:space="0"/>
            </w:tcBorders>
            <w:noWrap w:val="0"/>
            <w:vAlign w:val="center"/>
          </w:tcPr>
          <w:p w14:paraId="77B63CD7">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其他类</w:t>
            </w:r>
          </w:p>
        </w:tc>
      </w:tr>
      <w:tr w14:paraId="13451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atLeast"/>
        </w:trPr>
        <w:tc>
          <w:tcPr>
            <w:tcW w:w="1042" w:type="dxa"/>
            <w:tcBorders>
              <w:top w:val="single" w:color="auto" w:sz="4" w:space="0"/>
              <w:left w:val="single" w:color="auto" w:sz="4" w:space="0"/>
              <w:bottom w:val="single" w:color="auto" w:sz="4" w:space="0"/>
              <w:right w:val="single" w:color="auto" w:sz="4" w:space="0"/>
            </w:tcBorders>
            <w:noWrap w:val="0"/>
            <w:vAlign w:val="center"/>
          </w:tcPr>
          <w:p w14:paraId="0589E5DE">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14</w:t>
            </w:r>
          </w:p>
        </w:tc>
        <w:tc>
          <w:tcPr>
            <w:tcW w:w="1819" w:type="dxa"/>
            <w:tcBorders>
              <w:top w:val="single" w:color="auto" w:sz="4" w:space="0"/>
              <w:left w:val="single" w:color="auto" w:sz="4" w:space="0"/>
              <w:bottom w:val="single" w:color="auto" w:sz="4" w:space="0"/>
              <w:right w:val="single" w:color="auto" w:sz="4" w:space="0"/>
            </w:tcBorders>
            <w:noWrap w:val="0"/>
            <w:vAlign w:val="center"/>
          </w:tcPr>
          <w:p w14:paraId="2D807BCF">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项目集成人工费等（1套）</w:t>
            </w:r>
          </w:p>
        </w:tc>
        <w:tc>
          <w:tcPr>
            <w:tcW w:w="5661" w:type="dxa"/>
            <w:tcBorders>
              <w:top w:val="single" w:color="auto" w:sz="4" w:space="0"/>
              <w:left w:val="single" w:color="auto" w:sz="4" w:space="0"/>
              <w:bottom w:val="single" w:color="auto" w:sz="4" w:space="0"/>
              <w:right w:val="single" w:color="auto" w:sz="4" w:space="0"/>
            </w:tcBorders>
            <w:noWrap w:val="0"/>
            <w:vAlign w:val="top"/>
          </w:tcPr>
          <w:p w14:paraId="5140427D">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提供本项目应用系统环境安装，软硬件的安装部署、调试，技术支持、电路定位、开线布槽、人员培训等系统集成工作。</w:t>
            </w:r>
          </w:p>
        </w:tc>
      </w:tr>
      <w:tr w14:paraId="7A10F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trPr>
        <w:tc>
          <w:tcPr>
            <w:tcW w:w="1042" w:type="dxa"/>
            <w:tcBorders>
              <w:left w:val="single" w:color="auto" w:sz="4" w:space="0"/>
              <w:bottom w:val="single" w:color="auto" w:sz="4" w:space="0"/>
              <w:right w:val="single" w:color="auto" w:sz="4" w:space="0"/>
            </w:tcBorders>
            <w:noWrap w:val="0"/>
            <w:vAlign w:val="center"/>
          </w:tcPr>
          <w:p w14:paraId="5B0ED17B">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15</w:t>
            </w:r>
          </w:p>
        </w:tc>
        <w:tc>
          <w:tcPr>
            <w:tcW w:w="1819" w:type="dxa"/>
            <w:tcBorders>
              <w:top w:val="single" w:color="auto" w:sz="4" w:space="0"/>
              <w:left w:val="single" w:color="auto" w:sz="4" w:space="0"/>
              <w:bottom w:val="single" w:color="auto" w:sz="4" w:space="0"/>
              <w:right w:val="single" w:color="auto" w:sz="4" w:space="0"/>
            </w:tcBorders>
            <w:noWrap w:val="0"/>
            <w:vAlign w:val="center"/>
          </w:tcPr>
          <w:p w14:paraId="20593A5B">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信创及售后要求</w:t>
            </w:r>
          </w:p>
        </w:tc>
        <w:tc>
          <w:tcPr>
            <w:tcW w:w="5661" w:type="dxa"/>
            <w:tcBorders>
              <w:top w:val="single" w:color="auto" w:sz="4" w:space="0"/>
              <w:left w:val="single" w:color="auto" w:sz="4" w:space="0"/>
              <w:bottom w:val="single" w:color="auto" w:sz="4" w:space="0"/>
              <w:right w:val="single" w:color="auto" w:sz="4" w:space="0"/>
            </w:tcBorders>
            <w:noWrap w:val="0"/>
            <w:vAlign w:val="center"/>
          </w:tcPr>
          <w:p w14:paraId="6845992C">
            <w:pPr>
              <w:numPr>
                <w:ilvl w:val="0"/>
                <w:numId w:val="7"/>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所有项目服务周期为五年，自项目验收合格后提供五年免费系统质保与运营维护，提供小版本免费升级、软件功能定制化开发，自项目验收合格后三年内，如发布跨版本的同款软件，须提供免费升级。提供免费质保函（加盖投标单位公章）；</w:t>
            </w:r>
          </w:p>
          <w:p w14:paraId="10DADDF1">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eastAsia" w:ascii="宋体" w:hAnsi="宋体" w:eastAsia="宋体" w:cs="宋体"/>
                <w:b w:val="0"/>
                <w:bCs w:val="0"/>
                <w:i w:val="0"/>
                <w:iCs w:val="0"/>
                <w:color w:val="auto"/>
                <w:sz w:val="24"/>
                <w:szCs w:val="24"/>
                <w:highlight w:val="none"/>
                <w:vertAlign w:val="baseline"/>
                <w:lang w:val="en-US" w:eastAsia="zh-CN" w:bidi="ar-SA"/>
              </w:rPr>
              <w:t>2.</w:t>
            </w:r>
            <w:r>
              <w:rPr>
                <w:rFonts w:hint="default" w:ascii="宋体" w:hAnsi="宋体" w:eastAsia="宋体" w:cs="宋体"/>
                <w:b w:val="0"/>
                <w:bCs w:val="0"/>
                <w:i w:val="0"/>
                <w:iCs w:val="0"/>
                <w:color w:val="auto"/>
                <w:sz w:val="24"/>
                <w:szCs w:val="24"/>
                <w:highlight w:val="none"/>
                <w:vertAlign w:val="baseline"/>
                <w:lang w:val="en-US" w:eastAsia="zh-CN" w:bidi="ar-SA"/>
              </w:rPr>
              <w:t>五年服务期后，每年维护费不高于中标价的5%。</w:t>
            </w:r>
          </w:p>
          <w:p w14:paraId="1A3ECECB">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eastAsia" w:ascii="宋体" w:hAnsi="宋体" w:eastAsia="宋体" w:cs="宋体"/>
                <w:b w:val="0"/>
                <w:bCs w:val="0"/>
                <w:i w:val="0"/>
                <w:iCs w:val="0"/>
                <w:color w:val="auto"/>
                <w:sz w:val="24"/>
                <w:szCs w:val="24"/>
                <w:highlight w:val="none"/>
                <w:vertAlign w:val="baseline"/>
                <w:lang w:val="en-US" w:eastAsia="zh-CN" w:bidi="ar-SA"/>
              </w:rPr>
              <w:t>3.</w:t>
            </w:r>
            <w:r>
              <w:rPr>
                <w:rFonts w:hint="default" w:ascii="宋体" w:hAnsi="宋体" w:eastAsia="宋体" w:cs="宋体"/>
                <w:b w:val="0"/>
                <w:bCs w:val="0"/>
                <w:i w:val="0"/>
                <w:iCs w:val="0"/>
                <w:color w:val="auto"/>
                <w:sz w:val="24"/>
                <w:szCs w:val="24"/>
                <w:highlight w:val="none"/>
                <w:vertAlign w:val="baseline"/>
                <w:lang w:val="en-US" w:eastAsia="zh-CN" w:bidi="ar-SA"/>
              </w:rPr>
              <w:t>验收通过后，系统须提供7×24小时的连续运行，平均年故时间小于1天，平均故障修复时间小于4小时，提供应急响应的预案；</w:t>
            </w:r>
          </w:p>
          <w:p w14:paraId="6C4F688B">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eastAsia" w:ascii="宋体" w:hAnsi="宋体" w:eastAsia="宋体" w:cs="宋体"/>
                <w:b w:val="0"/>
                <w:bCs w:val="0"/>
                <w:i w:val="0"/>
                <w:iCs w:val="0"/>
                <w:color w:val="auto"/>
                <w:sz w:val="24"/>
                <w:szCs w:val="24"/>
                <w:highlight w:val="none"/>
                <w:vertAlign w:val="baseline"/>
                <w:lang w:val="en-US" w:eastAsia="zh-CN" w:bidi="ar-SA"/>
              </w:rPr>
              <w:t>4.</w:t>
            </w:r>
            <w:r>
              <w:rPr>
                <w:rFonts w:hint="default" w:ascii="宋体" w:hAnsi="宋体" w:eastAsia="宋体" w:cs="宋体"/>
                <w:b w:val="0"/>
                <w:bCs w:val="0"/>
                <w:i w:val="0"/>
                <w:iCs w:val="0"/>
                <w:color w:val="auto"/>
                <w:sz w:val="24"/>
                <w:szCs w:val="24"/>
                <w:highlight w:val="none"/>
                <w:vertAlign w:val="baseline"/>
                <w:lang w:val="en-US" w:eastAsia="zh-CN" w:bidi="ar-SA"/>
              </w:rPr>
              <w:t>售后服务期内要求提供7×24小时技术支持响应服务。在出现系统故障的30分钟内给予问题的解答，如需现场解决，在故障发生2小时内，派技术人员到达现场解决问题。</w:t>
            </w:r>
          </w:p>
          <w:p w14:paraId="43584C4A">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eastAsia" w:ascii="宋体" w:hAnsi="宋体" w:eastAsia="宋体" w:cs="宋体"/>
                <w:b w:val="0"/>
                <w:bCs w:val="0"/>
                <w:i w:val="0"/>
                <w:iCs w:val="0"/>
                <w:color w:val="auto"/>
                <w:sz w:val="24"/>
                <w:szCs w:val="24"/>
                <w:highlight w:val="none"/>
                <w:vertAlign w:val="baseline"/>
                <w:lang w:val="en-US" w:eastAsia="zh-CN" w:bidi="ar-SA"/>
              </w:rPr>
              <w:t>5.</w:t>
            </w:r>
            <w:r>
              <w:rPr>
                <w:rFonts w:hint="default" w:ascii="宋体" w:hAnsi="宋体" w:eastAsia="宋体" w:cs="宋体"/>
                <w:b w:val="0"/>
                <w:bCs w:val="0"/>
                <w:i w:val="0"/>
                <w:iCs w:val="0"/>
                <w:color w:val="auto"/>
                <w:sz w:val="24"/>
                <w:szCs w:val="24"/>
                <w:highlight w:val="none"/>
                <w:vertAlign w:val="baseline"/>
                <w:lang w:val="en-US" w:eastAsia="zh-CN" w:bidi="ar-SA"/>
              </w:rPr>
              <w:t>对于发现的软件自身功能问题，须免费提供永久支持（与质保期无关），及时给予圆满解决；在远程维护无法解决问题的情况下，要派遣技术人员上门解决。</w:t>
            </w:r>
          </w:p>
          <w:p w14:paraId="5FBEA673">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eastAsia" w:ascii="宋体" w:hAnsi="宋体" w:eastAsia="宋体" w:cs="宋体"/>
                <w:b w:val="0"/>
                <w:bCs w:val="0"/>
                <w:i w:val="0"/>
                <w:iCs w:val="0"/>
                <w:color w:val="auto"/>
                <w:sz w:val="24"/>
                <w:szCs w:val="24"/>
                <w:highlight w:val="none"/>
                <w:vertAlign w:val="baseline"/>
                <w:lang w:val="en-US" w:eastAsia="zh-CN" w:bidi="ar-SA"/>
              </w:rPr>
              <w:t>6.</w:t>
            </w:r>
            <w:r>
              <w:rPr>
                <w:rFonts w:hint="default" w:ascii="宋体" w:hAnsi="宋体" w:eastAsia="宋体" w:cs="宋体"/>
                <w:b w:val="0"/>
                <w:bCs w:val="0"/>
                <w:i w:val="0"/>
                <w:iCs w:val="0"/>
                <w:color w:val="auto"/>
                <w:sz w:val="24"/>
                <w:szCs w:val="24"/>
                <w:highlight w:val="none"/>
                <w:vertAlign w:val="baseline"/>
                <w:lang w:val="en-US" w:eastAsia="zh-CN" w:bidi="ar-SA"/>
              </w:rPr>
              <w:t>▲提供不低于40课时的现场培训，确保学校技术人员能够熟练掌握平台功能及使用方法。投标时提供详细培训计划；</w:t>
            </w:r>
          </w:p>
          <w:p w14:paraId="014F27C7">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eastAsia" w:ascii="宋体" w:hAnsi="宋体" w:eastAsia="宋体" w:cs="宋体"/>
                <w:b w:val="0"/>
                <w:bCs w:val="0"/>
                <w:i w:val="0"/>
                <w:iCs w:val="0"/>
                <w:color w:val="auto"/>
                <w:sz w:val="24"/>
                <w:szCs w:val="24"/>
                <w:highlight w:val="none"/>
                <w:vertAlign w:val="baseline"/>
                <w:lang w:val="en-US" w:eastAsia="zh-CN" w:bidi="ar-SA"/>
              </w:rPr>
              <w:t>7.</w:t>
            </w:r>
            <w:r>
              <w:rPr>
                <w:rFonts w:hint="default" w:ascii="宋体" w:hAnsi="宋体" w:eastAsia="宋体" w:cs="宋体"/>
                <w:b w:val="0"/>
                <w:bCs w:val="0"/>
                <w:i w:val="0"/>
                <w:iCs w:val="0"/>
                <w:color w:val="auto"/>
                <w:sz w:val="24"/>
                <w:szCs w:val="24"/>
                <w:highlight w:val="none"/>
                <w:vertAlign w:val="baseline"/>
                <w:lang w:val="en-US" w:eastAsia="zh-CN" w:bidi="ar-SA"/>
              </w:rPr>
              <w:t>所有软件系统、第三方软件、中间件，提供正版永久使用授权；</w:t>
            </w:r>
          </w:p>
          <w:p w14:paraId="6DB9C1E0">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eastAsia" w:ascii="宋体" w:hAnsi="宋体" w:eastAsia="宋体" w:cs="宋体"/>
                <w:b w:val="0"/>
                <w:bCs w:val="0"/>
                <w:i w:val="0"/>
                <w:iCs w:val="0"/>
                <w:color w:val="auto"/>
                <w:sz w:val="24"/>
                <w:szCs w:val="24"/>
                <w:highlight w:val="none"/>
                <w:vertAlign w:val="baseline"/>
                <w:lang w:val="en-US" w:eastAsia="zh-CN" w:bidi="ar-SA"/>
              </w:rPr>
              <w:t>8.</w:t>
            </w:r>
            <w:r>
              <w:rPr>
                <w:rFonts w:hint="default" w:ascii="宋体" w:hAnsi="宋体" w:eastAsia="宋体" w:cs="宋体"/>
                <w:b w:val="0"/>
                <w:bCs w:val="0"/>
                <w:i w:val="0"/>
                <w:iCs w:val="0"/>
                <w:color w:val="auto"/>
                <w:sz w:val="24"/>
                <w:szCs w:val="24"/>
                <w:highlight w:val="none"/>
                <w:vertAlign w:val="baseline"/>
                <w:lang w:val="en-US" w:eastAsia="zh-CN" w:bidi="ar-SA"/>
              </w:rPr>
              <w:t>该软件系统安装在学校现有超融合虚拟化平台中（新华三UIS），学校提供开源操作系统平台，如中标单位需要其他操作系统，所产生的一切费用，由中标单位承担，并提供正版授权证书。</w:t>
            </w:r>
          </w:p>
          <w:p w14:paraId="2DD048E6">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eastAsia" w:ascii="宋体" w:hAnsi="宋体" w:eastAsia="宋体" w:cs="宋体"/>
                <w:b w:val="0"/>
                <w:bCs w:val="0"/>
                <w:i w:val="0"/>
                <w:iCs w:val="0"/>
                <w:color w:val="auto"/>
                <w:sz w:val="24"/>
                <w:szCs w:val="24"/>
                <w:highlight w:val="none"/>
                <w:vertAlign w:val="baseline"/>
                <w:lang w:val="en-US" w:eastAsia="zh-CN" w:bidi="ar-SA"/>
              </w:rPr>
              <w:t>9.</w:t>
            </w:r>
            <w:r>
              <w:rPr>
                <w:rFonts w:hint="default" w:ascii="宋体" w:hAnsi="宋体" w:eastAsia="宋体" w:cs="宋体"/>
                <w:b w:val="0"/>
                <w:bCs w:val="0"/>
                <w:i w:val="0"/>
                <w:iCs w:val="0"/>
                <w:color w:val="auto"/>
                <w:sz w:val="24"/>
                <w:szCs w:val="24"/>
                <w:highlight w:val="none"/>
                <w:vertAlign w:val="baseline"/>
                <w:lang w:val="en-US" w:eastAsia="zh-CN" w:bidi="ar-SA"/>
              </w:rPr>
              <w:t>因超融合虚拟化平台的限制，不支持硬件加密狗。如使用加密狗，导致虚拟机无法迁移、虚拟机重启等问题，投标人需承诺免费改用其他正版授权方案，确保虚拟化平台、采购的软件系统正常使用；</w:t>
            </w:r>
          </w:p>
          <w:p w14:paraId="5AEA19C7">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eastAsia" w:ascii="宋体" w:hAnsi="宋体" w:eastAsia="宋体" w:cs="宋体"/>
                <w:b w:val="0"/>
                <w:bCs w:val="0"/>
                <w:i w:val="0"/>
                <w:iCs w:val="0"/>
                <w:color w:val="auto"/>
                <w:sz w:val="24"/>
                <w:szCs w:val="24"/>
                <w:highlight w:val="none"/>
                <w:vertAlign w:val="baseline"/>
                <w:lang w:val="en-US" w:eastAsia="zh-CN" w:bidi="ar-SA"/>
              </w:rPr>
              <w:t>10.</w:t>
            </w:r>
            <w:r>
              <w:rPr>
                <w:rFonts w:hint="default" w:ascii="宋体" w:hAnsi="宋体" w:eastAsia="宋体" w:cs="宋体"/>
                <w:b w:val="0"/>
                <w:bCs w:val="0"/>
                <w:i w:val="0"/>
                <w:iCs w:val="0"/>
                <w:color w:val="auto"/>
                <w:sz w:val="24"/>
                <w:szCs w:val="24"/>
                <w:highlight w:val="none"/>
                <w:vertAlign w:val="baseline"/>
                <w:lang w:val="en-US" w:eastAsia="zh-CN" w:bidi="ar-SA"/>
              </w:rPr>
              <w:t>本项目所有功能，在使用过程中不受任何形式的限制（包括但不限于：功能、时长、存储空间大小、升级更新时长等限制）；</w:t>
            </w:r>
          </w:p>
          <w:p w14:paraId="627EB378">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eastAsia" w:ascii="宋体" w:hAnsi="宋体" w:eastAsia="宋体" w:cs="宋体"/>
                <w:b w:val="0"/>
                <w:bCs w:val="0"/>
                <w:i w:val="0"/>
                <w:iCs w:val="0"/>
                <w:color w:val="auto"/>
                <w:sz w:val="24"/>
                <w:szCs w:val="24"/>
                <w:highlight w:val="none"/>
                <w:vertAlign w:val="baseline"/>
                <w:lang w:val="en-US" w:eastAsia="zh-CN" w:bidi="ar-SA"/>
              </w:rPr>
              <w:t>11.</w:t>
            </w:r>
            <w:r>
              <w:rPr>
                <w:rFonts w:hint="default" w:ascii="宋体" w:hAnsi="宋体" w:eastAsia="宋体" w:cs="宋体"/>
                <w:b w:val="0"/>
                <w:bCs w:val="0"/>
                <w:i w:val="0"/>
                <w:iCs w:val="0"/>
                <w:color w:val="auto"/>
                <w:sz w:val="24"/>
                <w:szCs w:val="24"/>
                <w:highlight w:val="none"/>
                <w:vertAlign w:val="baseline"/>
                <w:lang w:val="en-US" w:eastAsia="zh-CN" w:bidi="ar-SA"/>
              </w:rPr>
              <w:t>▲根据项目建设需求，系统须按规范（或学校要求）免费对接学校现有统一身份认证平台、融合门户、办事大厅、微信公众号、企业微信、消息中心、短信平台、数据中台等公共平台、系统或应用，必要时提供必要的定制化开发，实现数据互通。</w:t>
            </w:r>
          </w:p>
          <w:p w14:paraId="312B5840">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eastAsia" w:ascii="宋体" w:hAnsi="宋体" w:eastAsia="宋体" w:cs="宋体"/>
                <w:b w:val="0"/>
                <w:bCs w:val="0"/>
                <w:i w:val="0"/>
                <w:iCs w:val="0"/>
                <w:color w:val="auto"/>
                <w:sz w:val="24"/>
                <w:szCs w:val="24"/>
                <w:highlight w:val="none"/>
                <w:vertAlign w:val="baseline"/>
                <w:lang w:val="en-US" w:eastAsia="zh-CN" w:bidi="ar-SA"/>
              </w:rPr>
              <w:t>12.</w:t>
            </w:r>
            <w:r>
              <w:rPr>
                <w:rFonts w:hint="default" w:ascii="宋体" w:hAnsi="宋体" w:eastAsia="宋体" w:cs="宋体"/>
                <w:b w:val="0"/>
                <w:bCs w:val="0"/>
                <w:i w:val="0"/>
                <w:iCs w:val="0"/>
                <w:color w:val="auto"/>
                <w:sz w:val="24"/>
                <w:szCs w:val="24"/>
                <w:highlight w:val="none"/>
                <w:vertAlign w:val="baseline"/>
                <w:lang w:val="en-US" w:eastAsia="zh-CN" w:bidi="ar-SA"/>
              </w:rPr>
              <w:t>所有面向学生、教职工、家长等角色的功能，必须在学校指定的融合门户、办事大厅上架（无需二次身份认证、界面设计需要由学校确认）；</w:t>
            </w:r>
          </w:p>
          <w:p w14:paraId="20C49A5E">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13.▲配合学校信息化安全管理工作，及时对系统/应用/网站相关的安全事件进行响应。配合完成信息系统等级保护年度评测工作。系统满足等级保护相关技术要求，需提供系统等保测评等级证书。</w:t>
            </w:r>
          </w:p>
          <w:p w14:paraId="07AE2BE8">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14. 合同签订起到试运行期间，要求必须配置不少于一人驻场服务。这阶段中必须与相关部门进一步接洽，明确具体功能内的需求细节，完成调优和定制开发内容，达到项目验收要求；驻场人员须具备和本次采购项目同类项目经验，须提供同类项目客户方证明函和人员社保缴纳证明（驻场人员需为中标公司员工）。</w:t>
            </w:r>
          </w:p>
          <w:p w14:paraId="326F1E03">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15. ▲本项目在部署过程中必须与相关部门进一步接洽，明确具体功能内的需求细节，承诺所有二次开发的费用包含在本次项目中标总价中，不额外计费。（需提供承诺函）；</w:t>
            </w:r>
          </w:p>
          <w:p w14:paraId="440AFDD7">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16. 支付方式：分四次支付，第一次为合同签订后支付中标价的30%，第二次为通过初步验收（项目试运行），支付中标价的20%，第三次为通过项目验收，支付中标价的30%。第四次为验收通过后第三年，支付中标价的20%。</w:t>
            </w:r>
          </w:p>
          <w:p w14:paraId="3964FCEE">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17. 投标人所提供的图书馆自动化管理系统适配国产化，支持国产化环境安装使用，有通过国产操作系统、国产处理器的联合测试，在国产化环境中能够整体运行稳定，满足功能及兼容性测试要求，在商务技术标中提供国产化运行系统开发或应用机构出具的产品兼容性互认证明复印件予以佐证。</w:t>
            </w:r>
          </w:p>
          <w:p w14:paraId="03E8C197">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18. 所投图书馆自动化管理系统生产厂商有通过信息安全管理体系认证和信息系统建设和服务能力认证。</w:t>
            </w:r>
          </w:p>
        </w:tc>
      </w:tr>
    </w:tbl>
    <w:p w14:paraId="024396D4">
      <w:pPr>
        <w:numPr>
          <w:ilvl w:val="0"/>
          <w:numId w:val="0"/>
        </w:numPr>
        <w:spacing w:line="500" w:lineRule="exact"/>
        <w:ind w:leftChars="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eastAsia" w:ascii="宋体" w:hAnsi="宋体" w:cs="宋体"/>
          <w:b w:val="0"/>
          <w:bCs w:val="0"/>
          <w:i w:val="0"/>
          <w:iCs w:val="0"/>
          <w:color w:val="auto"/>
          <w:sz w:val="24"/>
          <w:szCs w:val="24"/>
          <w:highlight w:val="none"/>
          <w:vertAlign w:val="baseline"/>
          <w:lang w:val="en-US" w:eastAsia="zh-CN" w:bidi="ar-SA"/>
        </w:rPr>
        <w:t>备注：对</w:t>
      </w:r>
      <w:r>
        <w:rPr>
          <w:rFonts w:hint="default" w:ascii="宋体" w:hAnsi="宋体" w:eastAsia="宋体" w:cs="宋体"/>
          <w:b w:val="0"/>
          <w:bCs w:val="0"/>
          <w:i w:val="0"/>
          <w:iCs w:val="0"/>
          <w:color w:val="auto"/>
          <w:sz w:val="24"/>
          <w:szCs w:val="24"/>
          <w:highlight w:val="none"/>
          <w:vertAlign w:val="baseline"/>
          <w:lang w:val="en-US" w:eastAsia="zh-CN" w:bidi="ar-SA"/>
        </w:rPr>
        <w:t>图书馆集群自动化管理系统（核心产品）</w:t>
      </w:r>
      <w:r>
        <w:rPr>
          <w:rFonts w:hint="eastAsia" w:ascii="宋体" w:hAnsi="宋体" w:cs="宋体"/>
          <w:b w:val="0"/>
          <w:bCs w:val="0"/>
          <w:i w:val="0"/>
          <w:iCs w:val="0"/>
          <w:color w:val="auto"/>
          <w:sz w:val="24"/>
          <w:szCs w:val="24"/>
          <w:highlight w:val="none"/>
          <w:vertAlign w:val="baseline"/>
          <w:lang w:val="en-US" w:eastAsia="zh-CN" w:bidi="ar-SA"/>
        </w:rPr>
        <w:t>、</w:t>
      </w:r>
      <w:r>
        <w:rPr>
          <w:rFonts w:hint="default" w:ascii="宋体" w:hAnsi="宋体" w:eastAsia="宋体" w:cs="宋体"/>
          <w:b w:val="0"/>
          <w:bCs w:val="0"/>
          <w:i w:val="0"/>
          <w:iCs w:val="0"/>
          <w:color w:val="auto"/>
          <w:sz w:val="24"/>
          <w:szCs w:val="24"/>
          <w:highlight w:val="none"/>
          <w:vertAlign w:val="baseline"/>
          <w:lang w:val="en-US" w:eastAsia="zh-CN" w:bidi="ar-SA"/>
        </w:rPr>
        <w:t>大数据统计显示系统（1套）</w:t>
      </w:r>
      <w:r>
        <w:rPr>
          <w:rFonts w:hint="eastAsia" w:ascii="宋体" w:hAnsi="宋体" w:eastAsia="宋体" w:cs="宋体"/>
          <w:b w:val="0"/>
          <w:bCs w:val="0"/>
          <w:i w:val="0"/>
          <w:iCs w:val="0"/>
          <w:color w:val="auto"/>
          <w:sz w:val="24"/>
          <w:szCs w:val="24"/>
          <w:highlight w:val="none"/>
          <w:vertAlign w:val="baseline"/>
          <w:lang w:val="en-US" w:eastAsia="zh-CN" w:bidi="ar-SA"/>
        </w:rPr>
        <w:t>进行现场详细功能演示，并完成功能解答。</w:t>
      </w:r>
    </w:p>
    <w:p w14:paraId="709D96DA">
      <w:pPr>
        <w:rPr>
          <w:rFonts w:hint="default" w:ascii="宋体" w:hAnsi="宋体" w:eastAsia="宋体" w:cs="宋体"/>
          <w:b/>
          <w:bCs/>
          <w:i w:val="0"/>
          <w:iCs w:val="0"/>
          <w:color w:val="auto"/>
          <w:sz w:val="28"/>
          <w:szCs w:val="28"/>
          <w:highlight w:val="none"/>
          <w:vertAlign w:val="baseline"/>
          <w:lang w:val="en-US" w:eastAsia="zh-CN" w:bidi="ar-SA"/>
        </w:rPr>
      </w:pPr>
      <w:r>
        <w:rPr>
          <w:rFonts w:hint="default" w:ascii="宋体" w:hAnsi="宋体" w:eastAsia="宋体" w:cs="宋体"/>
          <w:b/>
          <w:bCs/>
          <w:i w:val="0"/>
          <w:iCs w:val="0"/>
          <w:color w:val="auto"/>
          <w:sz w:val="28"/>
          <w:szCs w:val="28"/>
          <w:highlight w:val="none"/>
          <w:vertAlign w:val="baseline"/>
          <w:lang w:val="en-US" w:eastAsia="zh-CN" w:bidi="ar-SA"/>
        </w:rPr>
        <w:br w:type="page"/>
      </w:r>
    </w:p>
    <w:p w14:paraId="130B511A">
      <w:pPr>
        <w:widowControl/>
        <w:spacing w:line="500" w:lineRule="exact"/>
        <w:jc w:val="both"/>
      </w:pPr>
      <w:r>
        <w:rPr>
          <w:rFonts w:hint="default" w:ascii="宋体" w:hAnsi="宋体" w:eastAsia="宋体" w:cs="宋体"/>
          <w:b/>
          <w:bCs/>
          <w:i w:val="0"/>
          <w:iCs w:val="0"/>
          <w:color w:val="auto"/>
          <w:sz w:val="28"/>
          <w:szCs w:val="28"/>
          <w:highlight w:val="none"/>
          <w:vertAlign w:val="baseline"/>
          <w:lang w:val="en-US" w:eastAsia="zh-CN" w:bidi="ar-SA"/>
        </w:rPr>
        <w:t>附件1：《盐城技师学院图书馆中文图书分编及加工细则》</w:t>
      </w:r>
    </w:p>
    <w:p w14:paraId="812A03AB">
      <w:pPr>
        <w:widowControl/>
        <w:spacing w:line="500" w:lineRule="exact"/>
        <w:jc w:val="center"/>
      </w:pPr>
    </w:p>
    <w:p w14:paraId="55E96BBD">
      <w:pPr>
        <w:spacing w:line="500" w:lineRule="exact"/>
        <w:jc w:val="center"/>
      </w:pPr>
      <w:r>
        <w:rPr>
          <w:rFonts w:hint="default" w:ascii="宋体" w:hAnsi="宋体" w:eastAsia="Arial" w:cs="宋体"/>
          <w:b/>
          <w:bCs/>
          <w:i w:val="0"/>
          <w:iCs w:val="0"/>
          <w:color w:val="auto"/>
          <w:sz w:val="24"/>
          <w:szCs w:val="24"/>
          <w:highlight w:val="none"/>
          <w:vertAlign w:val="baseline"/>
          <w:lang w:val="en-US" w:eastAsia="zh-CN" w:bidi="ar-SA"/>
        </w:rPr>
        <w:t xml:space="preserve">第一部分     </w:t>
      </w:r>
      <w:r>
        <w:rPr>
          <w:rFonts w:hint="default" w:ascii="宋体" w:hAnsi="宋体" w:eastAsia="宋体" w:cs="宋体"/>
          <w:b/>
          <w:bCs/>
          <w:i w:val="0"/>
          <w:iCs w:val="0"/>
          <w:color w:val="auto"/>
          <w:sz w:val="24"/>
          <w:szCs w:val="24"/>
          <w:highlight w:val="none"/>
          <w:vertAlign w:val="baseline"/>
          <w:lang w:val="en-US" w:eastAsia="zh-CN" w:bidi="ar-SA"/>
        </w:rPr>
        <w:t>盐城技师学院图书馆</w:t>
      </w:r>
      <w:r>
        <w:rPr>
          <w:rFonts w:hint="default" w:ascii="宋体" w:hAnsi="宋体" w:eastAsia="Arial" w:cs="宋体"/>
          <w:b/>
          <w:bCs/>
          <w:i w:val="0"/>
          <w:iCs w:val="0"/>
          <w:color w:val="auto"/>
          <w:sz w:val="24"/>
          <w:szCs w:val="24"/>
          <w:highlight w:val="none"/>
          <w:vertAlign w:val="baseline"/>
          <w:lang w:val="en-US" w:eastAsia="zh-CN" w:bidi="ar-SA"/>
        </w:rPr>
        <w:t>中文图书分编工作原则</w:t>
      </w:r>
    </w:p>
    <w:p w14:paraId="246F2912">
      <w:pPr>
        <w:spacing w:line="500" w:lineRule="exact"/>
        <w:jc w:val="both"/>
      </w:pPr>
    </w:p>
    <w:p w14:paraId="E7138A13">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一、分类原则</w:t>
      </w:r>
    </w:p>
    <w:p w14:paraId="B8CF615D">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（一）本馆采用《中国图书馆分类法》（第五版）类分图书。</w:t>
      </w:r>
    </w:p>
    <w:p w14:paraId="EF176F5B">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（二）索书号由分类号和种次号组成，种次号是根据图书到馆进行分编的先后次序而定。</w:t>
      </w:r>
    </w:p>
    <w:p w14:paraId="7D1EEFF6">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（三）图书分类必须以图书内容、性质为依据，准确揭示图书的科学属性，切忌单凭书名归类。</w:t>
      </w:r>
    </w:p>
    <w:p w14:paraId="5D8867BD">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（四）图书分类必须分入最大用途的类。</w:t>
      </w:r>
    </w:p>
    <w:p w14:paraId="6253E324">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（五）分类按分类法详表，分到最细一级类目。如果产生新类号（产生新类号的第一个种次号时系统会提示），需要与本馆采编人员沟通确定</w:t>
      </w:r>
    </w:p>
    <w:p w14:paraId="E165DB4A">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二、编目原则</w:t>
      </w:r>
    </w:p>
    <w:p w14:paraId="1D6F3948">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（一）图书著录以《普通图书著录规则》（GB3792—85）、机读目录格式以《中国机读目录格式使用手册》为我馆中文图书著录的依据。</w:t>
      </w:r>
    </w:p>
    <w:p w14:paraId="1881A1C9">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（二）多卷书著录：对于多卷书以每卷书为单位进行分别著录。</w:t>
      </w:r>
    </w:p>
    <w:p w14:paraId="9295321B">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（三）丛书著录：一般采用分散著录的方法进行著录。</w:t>
      </w:r>
    </w:p>
    <w:p w14:paraId="71F2CE24">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三、中文图书分编工作程序及要求</w:t>
      </w:r>
    </w:p>
    <w:p w14:paraId="DDDC10CA">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（一）查重</w:t>
      </w:r>
    </w:p>
    <w:p w14:paraId="F5FBA6E3">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每种图书进行查重，复本书取相同的索书号，多卷书取相同的分类号和种次号。查重时应仔细核对题名、版次、责任者、页数、价格等，避免一书多号和同书异号。</w:t>
      </w:r>
    </w:p>
    <w:p w14:paraId="8540AD33">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（二）分类标引</w:t>
      </w:r>
    </w:p>
    <w:p w14:paraId="AF5AD178">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根据《中图法》（第五版）和本馆制定的分类法使用本确定分类号，做到归类的准确性、一致性和系统性。</w:t>
      </w:r>
    </w:p>
    <w:p w14:paraId="2EE5919D">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（三）主题标引</w:t>
      </w:r>
    </w:p>
    <w:p w14:paraId="2C099672">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依据《中国分类主题词表》，进行主题标引。</w:t>
      </w:r>
    </w:p>
    <w:p w14:paraId="0955D69B">
      <w:pPr>
        <w:spacing w:line="500" w:lineRule="exact"/>
        <w:ind w:firstLine="480"/>
        <w:jc w:val="both"/>
        <w:rPr>
          <w:rFonts w:hint="default" w:ascii="宋体" w:hAnsi="宋体" w:eastAsia="Arial" w:cs="宋体"/>
          <w:b w:val="0"/>
          <w:bCs w:val="0"/>
          <w:i w:val="0"/>
          <w:iCs w:val="0"/>
          <w:color w:val="auto"/>
          <w:sz w:val="24"/>
          <w:szCs w:val="24"/>
          <w:highlight w:val="none"/>
          <w:vertAlign w:val="baseline"/>
          <w:lang w:val="en-US" w:eastAsia="zh-CN" w:bidi="ar-SA"/>
        </w:rPr>
      </w:pPr>
      <w:r>
        <w:rPr>
          <w:rFonts w:hint="default" w:ascii="宋体" w:hAnsi="宋体" w:eastAsia="Arial" w:cs="宋体"/>
          <w:b w:val="0"/>
          <w:bCs w:val="0"/>
          <w:i w:val="0"/>
          <w:iCs w:val="0"/>
          <w:color w:val="auto"/>
          <w:sz w:val="24"/>
          <w:szCs w:val="24"/>
          <w:highlight w:val="none"/>
          <w:vertAlign w:val="baseline"/>
          <w:lang w:val="en-US" w:eastAsia="zh-CN" w:bidi="ar-SA"/>
        </w:rPr>
        <w:t>（四）编目</w:t>
      </w:r>
      <w:r>
        <w:rPr>
          <w:rFonts w:hint="eastAsia" w:ascii="宋体" w:hAnsi="宋体" w:eastAsia="Arial" w:cs="宋体"/>
          <w:b w:val="0"/>
          <w:bCs w:val="0"/>
          <w:i w:val="0"/>
          <w:iCs w:val="0"/>
          <w:color w:val="auto"/>
          <w:sz w:val="24"/>
          <w:szCs w:val="24"/>
          <w:highlight w:val="none"/>
          <w:vertAlign w:val="baseline"/>
          <w:lang w:val="en-US" w:eastAsia="zh-CN" w:bidi="ar-SA"/>
        </w:rPr>
        <w:t>（针对三种类型编目数据的准确性，对下面图书的著录信息提供完整，详见附件3）</w:t>
      </w:r>
    </w:p>
    <w:p w14:paraId="3C39FAA7">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1、利用数据库检索每个类的最大种次号，依次类推。</w:t>
      </w:r>
    </w:p>
    <w:p w14:paraId="CBCEAE7E">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分类号与种次号共同组成索书号。</w:t>
      </w:r>
    </w:p>
    <w:p w14:paraId="5A4C2B32">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同一种的多卷书、再版书、复本书都是一个相同的号码，多卷书种次号用“：”隔开。对于同种书而不同年代的区分，可取其年代号，写在种次号后，中间用“：”隔开。同一种书（书名，著者相同）的不同版本作如下处理</w:t>
      </w:r>
    </w:p>
    <w:p w14:paraId="56C87292">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（１）同种书，同一出版社，同一版本（ISBN相同），不同版次，在种次号后加“=”区别，并以到馆的先后顺序给出区别号, “＝2”、“＝3”……。</w:t>
      </w:r>
    </w:p>
    <w:p w14:paraId="0CD18DEC">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（2）同种书，不同出版社（同一出版社的不同版本视同 “不同出版社”处理）,在种次号后加“-”区别,并以到馆的先后顺序给出区别号，“－2”、 “－3”……。</w:t>
      </w:r>
    </w:p>
    <w:p w14:paraId="ECE545C1">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2、严格依据《中国文献编目规则》兼容的CNMARC格式著录，并准确输入编目数据。要求著录项目齐全、准确。</w:t>
      </w:r>
    </w:p>
    <w:p w14:paraId="A374AB79">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3、图书著录时，应仔细核对每种图书的价格。</w:t>
      </w:r>
    </w:p>
    <w:p w14:paraId="AB3CDBCB">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（五）附件的处理</w:t>
      </w:r>
    </w:p>
    <w:p w14:paraId="F6EFC5C4">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若附件为光盘，在数据的相应字段标明，215▼e必须著录；附件有ISBN,ISRC的必须在307字段著录，并在光盘包装袋上粘贴原书的索书号标签；若附件为单独的书本（如习题集，答案之类），在数据的相应字段215▼e标明，按原书的复册处理，有独立的条码号和与原书相同的索书号，（注意：务必把该附件连接的馆藏价格修改为0），特殊情况沟通解决。</w:t>
      </w:r>
    </w:p>
    <w:p w14:paraId="248D18F2">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四、图书分类细则</w:t>
      </w:r>
    </w:p>
    <w:p w14:paraId="52CE3E7F">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（一）类目使用的详略程度</w:t>
      </w:r>
    </w:p>
    <w:p w14:paraId="EC161888">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中文图书分类按分类法详表分到最细一级类目，但是一般不再仿分复分，也不再取“+”号后面的类号，对列类特细的类目，分类号只取到第二位小数点之前，如：TP311.132。</w:t>
      </w:r>
    </w:p>
    <w:p w14:paraId="75FF8EAD">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（二）交替类目的使用规定</w:t>
      </w:r>
    </w:p>
    <w:p w14:paraId="63586236">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分类法中出现的交替类目除本馆规定的部分改为使用类目外，其它均按交替类目之下的注释说明归“宜入”的类目。</w:t>
      </w:r>
    </w:p>
    <w:p w14:paraId="EFF21D50">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（三）专科百科全书和专科年鉴全部集中在Z类。</w:t>
      </w:r>
    </w:p>
    <w:p w14:paraId="D4E9ED7D">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（四）关于前标法、后标法的使用规定</w:t>
      </w:r>
    </w:p>
    <w:p w14:paraId="C13533C5">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1、原则上是类目下有注释的按注释说明分。</w:t>
      </w:r>
    </w:p>
    <w:p w14:paraId="D3C20863">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2、涉及多重分类标准的文献，按论述的重点分；无注释的、不易区分的，可使用最前编号法标引。详见：第五版P917、P930、P939等。</w:t>
      </w:r>
    </w:p>
    <w:p w14:paraId="7EB80634">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3、注释中说明入后标法的，采用后标法。详见：第五版P183、P528等。</w:t>
      </w:r>
    </w:p>
    <w:p w14:paraId="ACA83419">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（五）专类复分表及仿分</w:t>
      </w:r>
    </w:p>
    <w:p w14:paraId="A12B2D9D">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对于各专类复分表以及各类目下的仿分复分，本馆原则上不使用，但具体情况按规定执行。</w:t>
      </w:r>
    </w:p>
    <w:p w14:paraId="39EC2AA2">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（六）辅助表的使用</w:t>
      </w:r>
    </w:p>
    <w:p w14:paraId="45B3105B">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1、总论复分表</w:t>
      </w:r>
    </w:p>
    <w:p w14:paraId="A10FD913">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原则上本表可适用于主表的任何一级类目，但根据实际情况，本馆规定一般四级（“T工业技术”各有关大类五级）类目后不再用本表复分。但对某些字词典按内容取号已超过所规定的级数，则入其上位类，然后取“—61”。</w:t>
      </w:r>
    </w:p>
    <w:p w14:paraId="DBFEDF9D">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具体采用：</w:t>
      </w:r>
    </w:p>
    <w:p w14:paraId="E85897E4">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—44</w:t>
      </w:r>
      <w:r>
        <w:tab/>
      </w:r>
      <w:r>
        <w:tab/>
      </w:r>
      <w:r>
        <w:rPr>
          <w:rFonts w:hint="default" w:ascii="宋体" w:hAnsi="宋体" w:eastAsia="Arial" w:cs="宋体"/>
          <w:b w:val="0"/>
          <w:bCs w:val="0"/>
          <w:i w:val="0"/>
          <w:iCs w:val="0"/>
          <w:color w:val="auto"/>
          <w:sz w:val="24"/>
          <w:szCs w:val="24"/>
          <w:highlight w:val="none"/>
          <w:vertAlign w:val="baseline"/>
          <w:lang w:val="en-US" w:eastAsia="zh-CN" w:bidi="ar-SA"/>
        </w:rPr>
        <w:t>习题、试题及题解</w:t>
      </w:r>
    </w:p>
    <w:p w14:paraId="23157B04">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—53</w:t>
      </w:r>
      <w:r>
        <w:tab/>
      </w:r>
      <w:r>
        <w:tab/>
      </w:r>
      <w:r>
        <w:rPr>
          <w:rFonts w:hint="default" w:ascii="宋体" w:hAnsi="宋体" w:eastAsia="Arial" w:cs="宋体"/>
          <w:b w:val="0"/>
          <w:bCs w:val="0"/>
          <w:i w:val="0"/>
          <w:iCs w:val="0"/>
          <w:color w:val="auto"/>
          <w:sz w:val="24"/>
          <w:szCs w:val="24"/>
          <w:highlight w:val="none"/>
          <w:vertAlign w:val="baseline"/>
          <w:lang w:val="en-US" w:eastAsia="zh-CN" w:bidi="ar-SA"/>
        </w:rPr>
        <w:t>论文集</w:t>
      </w:r>
    </w:p>
    <w:p w14:paraId="D0E77A07">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—61</w:t>
      </w:r>
      <w:r>
        <w:tab/>
      </w:r>
      <w:r>
        <w:tab/>
      </w:r>
      <w:r>
        <w:rPr>
          <w:rFonts w:hint="default" w:ascii="宋体" w:hAnsi="宋体" w:eastAsia="Arial" w:cs="宋体"/>
          <w:b w:val="0"/>
          <w:bCs w:val="0"/>
          <w:i w:val="0"/>
          <w:iCs w:val="0"/>
          <w:color w:val="auto"/>
          <w:sz w:val="24"/>
          <w:szCs w:val="24"/>
          <w:highlight w:val="none"/>
          <w:vertAlign w:val="baseline"/>
          <w:lang w:val="en-US" w:eastAsia="zh-CN" w:bidi="ar-SA"/>
        </w:rPr>
        <w:t>名词术语、词典、百科全书（类书）</w:t>
      </w:r>
    </w:p>
    <w:p w14:paraId="6B5EC51C">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—62</w:t>
      </w:r>
      <w:r>
        <w:tab/>
      </w:r>
      <w:r>
        <w:tab/>
      </w:r>
      <w:r>
        <w:rPr>
          <w:rFonts w:hint="default" w:ascii="宋体" w:hAnsi="宋体" w:eastAsia="Arial" w:cs="宋体"/>
          <w:b w:val="0"/>
          <w:bCs w:val="0"/>
          <w:i w:val="0"/>
          <w:iCs w:val="0"/>
          <w:color w:val="auto"/>
          <w:sz w:val="24"/>
          <w:szCs w:val="24"/>
          <w:highlight w:val="none"/>
          <w:vertAlign w:val="baseline"/>
          <w:lang w:val="en-US" w:eastAsia="zh-CN" w:bidi="ar-SA"/>
        </w:rPr>
        <w:t>手册、名录、指南、一览表、年表</w:t>
      </w:r>
    </w:p>
    <w:p w14:paraId="AE585525">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—63</w:t>
      </w:r>
      <w:r>
        <w:tab/>
      </w:r>
      <w:r>
        <w:tab/>
      </w:r>
      <w:r>
        <w:rPr>
          <w:rFonts w:hint="default" w:ascii="宋体" w:hAnsi="宋体" w:eastAsia="Arial" w:cs="宋体"/>
          <w:b w:val="0"/>
          <w:bCs w:val="0"/>
          <w:i w:val="0"/>
          <w:iCs w:val="0"/>
          <w:color w:val="auto"/>
          <w:sz w:val="24"/>
          <w:szCs w:val="24"/>
          <w:highlight w:val="none"/>
          <w:vertAlign w:val="baseline"/>
          <w:lang w:val="en-US" w:eastAsia="zh-CN" w:bidi="ar-SA"/>
        </w:rPr>
        <w:t>产品目录、产品样本、产品说明书</w:t>
      </w:r>
    </w:p>
    <w:p w14:paraId="4052F5EB">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—64</w:t>
      </w:r>
      <w:r>
        <w:tab/>
      </w:r>
      <w:r>
        <w:tab/>
      </w:r>
      <w:r>
        <w:rPr>
          <w:rFonts w:hint="default" w:ascii="宋体" w:hAnsi="宋体" w:eastAsia="Arial" w:cs="宋体"/>
          <w:b w:val="0"/>
          <w:bCs w:val="0"/>
          <w:i w:val="0"/>
          <w:iCs w:val="0"/>
          <w:color w:val="auto"/>
          <w:sz w:val="24"/>
          <w:szCs w:val="24"/>
          <w:highlight w:val="none"/>
          <w:vertAlign w:val="baseline"/>
          <w:lang w:val="en-US" w:eastAsia="zh-CN" w:bidi="ar-SA"/>
        </w:rPr>
        <w:t>表解、图解、图册</w:t>
      </w:r>
    </w:p>
    <w:p w14:paraId="4E47FA0A">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—65</w:t>
      </w:r>
      <w:r>
        <w:tab/>
      </w:r>
      <w:r>
        <w:tab/>
      </w:r>
      <w:r>
        <w:rPr>
          <w:rFonts w:hint="default" w:ascii="宋体" w:hAnsi="宋体" w:eastAsia="Arial" w:cs="宋体"/>
          <w:b w:val="0"/>
          <w:bCs w:val="0"/>
          <w:i w:val="0"/>
          <w:iCs w:val="0"/>
          <w:color w:val="auto"/>
          <w:sz w:val="24"/>
          <w:szCs w:val="24"/>
          <w:highlight w:val="none"/>
          <w:vertAlign w:val="baseline"/>
          <w:lang w:val="en-US" w:eastAsia="zh-CN" w:bidi="ar-SA"/>
        </w:rPr>
        <w:t>条例、规程、标准</w:t>
      </w:r>
    </w:p>
    <w:p w14:paraId="CA2501C8">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—79</w:t>
      </w:r>
      <w:r>
        <w:tab/>
      </w:r>
      <w:r>
        <w:tab/>
      </w:r>
      <w:r>
        <w:rPr>
          <w:rFonts w:hint="default" w:ascii="宋体" w:hAnsi="宋体" w:eastAsia="Arial" w:cs="宋体"/>
          <w:b w:val="0"/>
          <w:bCs w:val="0"/>
          <w:i w:val="0"/>
          <w:iCs w:val="0"/>
          <w:color w:val="auto"/>
          <w:sz w:val="24"/>
          <w:szCs w:val="24"/>
          <w:highlight w:val="none"/>
          <w:vertAlign w:val="baseline"/>
          <w:lang w:val="en-US" w:eastAsia="zh-CN" w:bidi="ar-SA"/>
        </w:rPr>
        <w:t>非书资料、视听资料</w:t>
      </w:r>
    </w:p>
    <w:p w14:paraId="B8BC196D">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2．世界地区表</w:t>
      </w:r>
    </w:p>
    <w:p w14:paraId="EADB9091">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此表只适用主表中注明“依世界地区表分”的类目，未说明的概不使用。</w:t>
      </w:r>
    </w:p>
    <w:p w14:paraId="12878870">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（七）丛书、多卷书的归类方法</w:t>
      </w:r>
    </w:p>
    <w:p w14:paraId="69F390DA">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1、多卷（册）图书的归类：多卷（册）图书不论是一次到馆或先后到馆，采用集中归类。</w:t>
      </w:r>
    </w:p>
    <w:p w14:paraId="787A585E">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2、丛书的归类</w:t>
      </w:r>
    </w:p>
    <w:p w14:paraId="9B501E11">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（1）丛书一般采用分散处理。一部丛书，每册的书名、著者不一样，则按学科内容各入其类。</w:t>
      </w:r>
    </w:p>
    <w:p w14:paraId="D4A6DFBF">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（2）一部丛书，有同一个总的丛书名，则采用集中归类。</w:t>
      </w:r>
    </w:p>
    <w:p w14:paraId="4F556459">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（八）关于组配的问题</w:t>
      </w:r>
    </w:p>
    <w:p w14:paraId="D9BC039F">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对于带有组配符号的类目，本馆不采用组配的方法，一般入各类即可。</w:t>
      </w:r>
    </w:p>
    <w:p w14:paraId="E5898056">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（九）对各类中的特殊情况做如下规定：</w:t>
      </w:r>
    </w:p>
    <w:p w14:paraId="80A1080C">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A  马列主义、毛泽东思想、邓小平理论</w:t>
      </w:r>
    </w:p>
    <w:p w14:paraId="95A0CD09">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A72／76均仿A71分，扩展到四级类目</w:t>
      </w:r>
    </w:p>
    <w:p w14:paraId="36190FFA">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A56之下的专类复分表不采用</w:t>
      </w:r>
    </w:p>
    <w:p w14:paraId="B75EEC06">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B  哲学</w:t>
      </w:r>
    </w:p>
    <w:p w14:paraId="11888B7F">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B21／26之下的专类复分表不采用</w:t>
      </w:r>
    </w:p>
    <w:p w14:paraId="88A791EF">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D  政治、法律</w:t>
      </w:r>
    </w:p>
    <w:p w14:paraId="FA5F4E7D">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D33／37</w:t>
      </w:r>
      <w:r>
        <w:tab/>
      </w:r>
      <w:r>
        <w:rPr>
          <w:rFonts w:hint="default" w:ascii="宋体" w:hAnsi="宋体" w:eastAsia="Arial" w:cs="宋体"/>
          <w:b w:val="0"/>
          <w:bCs w:val="0"/>
          <w:i w:val="0"/>
          <w:iCs w:val="0"/>
          <w:color w:val="auto"/>
          <w:sz w:val="24"/>
          <w:szCs w:val="24"/>
          <w:highlight w:val="none"/>
          <w:vertAlign w:val="baseline"/>
          <w:lang w:val="en-US" w:eastAsia="zh-CN" w:bidi="ar-SA"/>
        </w:rPr>
        <w:t>各国共产党</w:t>
      </w:r>
    </w:p>
    <w:p w14:paraId="D5E0E15D">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D73／77</w:t>
      </w:r>
      <w:r>
        <w:tab/>
      </w:r>
      <w:r>
        <w:rPr>
          <w:rFonts w:hint="default" w:ascii="宋体" w:hAnsi="宋体" w:eastAsia="Arial" w:cs="宋体"/>
          <w:b w:val="0"/>
          <w:bCs w:val="0"/>
          <w:i w:val="0"/>
          <w:iCs w:val="0"/>
          <w:color w:val="auto"/>
          <w:sz w:val="24"/>
          <w:szCs w:val="24"/>
          <w:highlight w:val="none"/>
          <w:vertAlign w:val="baseline"/>
          <w:lang w:val="en-US" w:eastAsia="zh-CN" w:bidi="ar-SA"/>
        </w:rPr>
        <w:t>各国政治</w:t>
      </w:r>
    </w:p>
    <w:p w14:paraId="022203CC">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D83／87</w:t>
      </w:r>
      <w:r>
        <w:tab/>
      </w:r>
      <w:r>
        <w:rPr>
          <w:rFonts w:hint="default" w:ascii="宋体" w:hAnsi="宋体" w:eastAsia="Arial" w:cs="宋体"/>
          <w:b w:val="0"/>
          <w:bCs w:val="0"/>
          <w:i w:val="0"/>
          <w:iCs w:val="0"/>
          <w:color w:val="auto"/>
          <w:sz w:val="24"/>
          <w:szCs w:val="24"/>
          <w:highlight w:val="none"/>
          <w:vertAlign w:val="baseline"/>
          <w:lang w:val="en-US" w:eastAsia="zh-CN" w:bidi="ar-SA"/>
        </w:rPr>
        <w:t>各国外交</w:t>
      </w:r>
    </w:p>
    <w:p w14:paraId="9269BD12">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D93／97</w:t>
      </w:r>
      <w:r>
        <w:tab/>
      </w:r>
      <w:r>
        <w:rPr>
          <w:rFonts w:hint="default" w:ascii="宋体" w:hAnsi="宋体" w:eastAsia="Arial" w:cs="宋体"/>
          <w:b w:val="0"/>
          <w:bCs w:val="0"/>
          <w:i w:val="0"/>
          <w:iCs w:val="0"/>
          <w:color w:val="auto"/>
          <w:sz w:val="24"/>
          <w:szCs w:val="24"/>
          <w:highlight w:val="none"/>
          <w:vertAlign w:val="baseline"/>
          <w:lang w:val="en-US" w:eastAsia="zh-CN" w:bidi="ar-SA"/>
        </w:rPr>
        <w:t>各国法律</w:t>
      </w:r>
    </w:p>
    <w:p w14:paraId="E20DECFC">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以上类目均依世界地区表分，类目取到国别，不再使用专类复分表。</w:t>
      </w:r>
    </w:p>
    <w:p w14:paraId="044AB98E">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以下类目采用细分：</w:t>
      </w:r>
    </w:p>
    <w:p w14:paraId="C07DEAC5">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D922.291.91 企业法、公司法</w:t>
      </w:r>
    </w:p>
    <w:p w14:paraId="E9F88BD0">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D922.291.92 破产法</w:t>
      </w:r>
    </w:p>
    <w:p w14:paraId="A4B26A26">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DF  法律（不采用）</w:t>
      </w:r>
    </w:p>
    <w:p w14:paraId="2B9D23DF">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E  军事</w:t>
      </w:r>
    </w:p>
    <w:p w14:paraId="637C9504">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E3／7各国军事（依世界地区表分，类目取到国别）</w:t>
      </w:r>
    </w:p>
    <w:p w14:paraId="0C811110">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F  经济</w:t>
      </w:r>
    </w:p>
    <w:p w14:paraId="CC866B77">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F13／17</w:t>
      </w:r>
      <w:r>
        <w:tab/>
      </w:r>
      <w:r>
        <w:tab/>
      </w:r>
      <w:r>
        <w:rPr>
          <w:rFonts w:hint="default" w:ascii="宋体" w:hAnsi="宋体" w:eastAsia="Arial" w:cs="宋体"/>
          <w:b w:val="0"/>
          <w:bCs w:val="0"/>
          <w:i w:val="0"/>
          <w:iCs w:val="0"/>
          <w:color w:val="auto"/>
          <w:sz w:val="24"/>
          <w:szCs w:val="24"/>
          <w:highlight w:val="none"/>
          <w:vertAlign w:val="baseline"/>
          <w:lang w:val="en-US" w:eastAsia="zh-CN" w:bidi="ar-SA"/>
        </w:rPr>
        <w:t>各国经济</w:t>
      </w:r>
    </w:p>
    <w:p w14:paraId="EB04BEDA">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F33／37</w:t>
      </w:r>
      <w:r>
        <w:tab/>
      </w:r>
      <w:r>
        <w:tab/>
      </w:r>
      <w:r>
        <w:rPr>
          <w:rFonts w:hint="default" w:ascii="宋体" w:hAnsi="宋体" w:eastAsia="Arial" w:cs="宋体"/>
          <w:b w:val="0"/>
          <w:bCs w:val="0"/>
          <w:i w:val="0"/>
          <w:iCs w:val="0"/>
          <w:color w:val="auto"/>
          <w:sz w:val="24"/>
          <w:szCs w:val="24"/>
          <w:highlight w:val="none"/>
          <w:vertAlign w:val="baseline"/>
          <w:lang w:val="en-US" w:eastAsia="zh-CN" w:bidi="ar-SA"/>
        </w:rPr>
        <w:t>各国农业经济</w:t>
      </w:r>
    </w:p>
    <w:p w14:paraId="4914FADE">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F43／47</w:t>
      </w:r>
      <w:r>
        <w:tab/>
      </w:r>
      <w:r>
        <w:tab/>
      </w:r>
      <w:r>
        <w:rPr>
          <w:rFonts w:hint="default" w:ascii="宋体" w:hAnsi="宋体" w:eastAsia="Arial" w:cs="宋体"/>
          <w:b w:val="0"/>
          <w:bCs w:val="0"/>
          <w:i w:val="0"/>
          <w:iCs w:val="0"/>
          <w:color w:val="auto"/>
          <w:sz w:val="24"/>
          <w:szCs w:val="24"/>
          <w:highlight w:val="none"/>
          <w:vertAlign w:val="baseline"/>
          <w:lang w:val="en-US" w:eastAsia="zh-CN" w:bidi="ar-SA"/>
        </w:rPr>
        <w:t>各国工业经济</w:t>
      </w:r>
    </w:p>
    <w:p w14:paraId="F5DDE9C2">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F753／757</w:t>
      </w:r>
      <w:r>
        <w:tab/>
      </w:r>
      <w:r>
        <w:rPr>
          <w:rFonts w:hint="default" w:ascii="宋体" w:hAnsi="宋体" w:eastAsia="Arial" w:cs="宋体"/>
          <w:b w:val="0"/>
          <w:bCs w:val="0"/>
          <w:i w:val="0"/>
          <w:iCs w:val="0"/>
          <w:color w:val="auto"/>
          <w:sz w:val="24"/>
          <w:szCs w:val="24"/>
          <w:highlight w:val="none"/>
          <w:vertAlign w:val="baseline"/>
          <w:lang w:val="en-US" w:eastAsia="zh-CN" w:bidi="ar-SA"/>
        </w:rPr>
        <w:t>各国对外贸易</w:t>
      </w:r>
    </w:p>
    <w:p w14:paraId="D4DB329F">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F823／827</w:t>
      </w:r>
      <w:r>
        <w:tab/>
      </w:r>
      <w:r>
        <w:rPr>
          <w:rFonts w:hint="default" w:ascii="宋体" w:hAnsi="宋体" w:eastAsia="Arial" w:cs="宋体"/>
          <w:b w:val="0"/>
          <w:bCs w:val="0"/>
          <w:i w:val="0"/>
          <w:iCs w:val="0"/>
          <w:color w:val="auto"/>
          <w:sz w:val="24"/>
          <w:szCs w:val="24"/>
          <w:highlight w:val="none"/>
          <w:vertAlign w:val="baseline"/>
          <w:lang w:val="en-US" w:eastAsia="zh-CN" w:bidi="ar-SA"/>
        </w:rPr>
        <w:t>各国货币</w:t>
      </w:r>
    </w:p>
    <w:p w14:paraId="5F3ECE1B">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F833／837</w:t>
      </w:r>
      <w:r>
        <w:tab/>
      </w:r>
      <w:r>
        <w:rPr>
          <w:rFonts w:hint="default" w:ascii="宋体" w:hAnsi="宋体" w:eastAsia="Arial" w:cs="宋体"/>
          <w:b w:val="0"/>
          <w:bCs w:val="0"/>
          <w:i w:val="0"/>
          <w:iCs w:val="0"/>
          <w:color w:val="auto"/>
          <w:sz w:val="24"/>
          <w:szCs w:val="24"/>
          <w:highlight w:val="none"/>
          <w:vertAlign w:val="baseline"/>
          <w:lang w:val="en-US" w:eastAsia="zh-CN" w:bidi="ar-SA"/>
        </w:rPr>
        <w:t>各国金融、银行</w:t>
      </w:r>
    </w:p>
    <w:p w14:paraId="0EF5AFAB">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以上类目均依世界地区表分，类目取到国别，不再仿分、复分。</w:t>
      </w:r>
    </w:p>
    <w:p w14:paraId="B557679C">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G  文化、科学、教育、体育</w:t>
      </w:r>
    </w:p>
    <w:p w14:paraId="E8696EA4">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G13／17  各国</w:t>
      </w:r>
    </w:p>
    <w:p w14:paraId="2FA22B35">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G53／57  各国教育事业（依世界地区表分，类目取到国别）</w:t>
      </w:r>
    </w:p>
    <w:p w14:paraId="00D84C9D">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H  语言、文字</w:t>
      </w:r>
    </w:p>
    <w:p w14:paraId="7891823A">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H32／37  均仿H31分</w:t>
      </w:r>
    </w:p>
    <w:p w14:paraId="4A8A308F">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I  文学</w:t>
      </w:r>
    </w:p>
    <w:p w14:paraId="2FFE140C">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I3／7  各国文学（依世界地区表分，再依专类复分表分，但不再仿分）</w:t>
      </w:r>
    </w:p>
    <w:p w14:paraId="303F8114">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K  历史、地理</w:t>
      </w:r>
    </w:p>
    <w:p w14:paraId="59779447">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K833／837  各国人物传记（依世界地区表分，类目取到国别，不再仿K82分）</w:t>
      </w:r>
    </w:p>
    <w:p w14:paraId="65671F4B">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TH 机械、仪表工业</w:t>
      </w:r>
    </w:p>
    <w:p w14:paraId="246DE2F1">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TH126 机械制图（习题集入此，不再复分）</w:t>
      </w:r>
    </w:p>
    <w:p w14:paraId="8531372A">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TP  自动化技术、计算机技术</w:t>
      </w:r>
    </w:p>
    <w:p w14:paraId="CD37F7F4">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TP312  程序语言、算法语言，分类号后边不再依语言名称的前两位英文字母区分。</w:t>
      </w:r>
    </w:p>
    <w:p w14:paraId="27ADA73B">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TS   轻工业、手工业</w:t>
      </w:r>
    </w:p>
    <w:p w14:paraId="EFC01880">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TS941.716 各种服装：按年龄分（不采用）</w:t>
      </w:r>
    </w:p>
    <w:p w14:paraId="788ED07B">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TS941.717/718 按性别分的服装（不采用）</w:t>
      </w:r>
    </w:p>
    <w:p w14:paraId="AF9F47FF">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Z  综合性图书</w:t>
      </w:r>
    </w:p>
    <w:p w14:paraId="79D45778">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1.凡依世界地区表分的类目，一律取到国别。</w:t>
      </w:r>
    </w:p>
    <w:p w14:paraId="F889D0E2">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2.Z［28］交替类目，改为使用类目。</w:t>
      </w:r>
    </w:p>
    <w:p w14:paraId="A75A4F35">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3.Z［58］交替类目，改为使用类目。</w:t>
      </w:r>
    </w:p>
    <w:p w14:paraId="08773222">
      <w:pPr>
        <w:rPr>
          <w:rFonts w:hint="default" w:ascii="宋体" w:hAnsi="宋体" w:eastAsia="Arial" w:cs="宋体"/>
          <w:b/>
          <w:bCs/>
          <w:i w:val="0"/>
          <w:iCs w:val="0"/>
          <w:color w:val="auto"/>
          <w:sz w:val="24"/>
          <w:szCs w:val="24"/>
          <w:highlight w:val="none"/>
          <w:vertAlign w:val="baseline"/>
          <w:lang w:val="en-US" w:eastAsia="zh-CN" w:bidi="ar-SA"/>
        </w:rPr>
      </w:pPr>
      <w:r>
        <w:rPr>
          <w:rFonts w:hint="default" w:ascii="宋体" w:hAnsi="宋体" w:eastAsia="Arial" w:cs="宋体"/>
          <w:b/>
          <w:bCs/>
          <w:i w:val="0"/>
          <w:iCs w:val="0"/>
          <w:color w:val="auto"/>
          <w:sz w:val="24"/>
          <w:szCs w:val="24"/>
          <w:highlight w:val="none"/>
          <w:vertAlign w:val="baseline"/>
          <w:lang w:val="en-US" w:eastAsia="zh-CN" w:bidi="ar-SA"/>
        </w:rPr>
        <w:br w:type="page"/>
      </w:r>
    </w:p>
    <w:p w14:paraId="4D9B51B5">
      <w:pPr>
        <w:spacing w:line="500" w:lineRule="exact"/>
        <w:jc w:val="center"/>
      </w:pPr>
      <w:r>
        <w:rPr>
          <w:rFonts w:hint="default" w:ascii="宋体" w:hAnsi="宋体" w:eastAsia="Arial" w:cs="宋体"/>
          <w:b/>
          <w:bCs/>
          <w:i w:val="0"/>
          <w:iCs w:val="0"/>
          <w:color w:val="auto"/>
          <w:sz w:val="24"/>
          <w:szCs w:val="24"/>
          <w:highlight w:val="none"/>
          <w:vertAlign w:val="baseline"/>
          <w:lang w:val="en-US" w:eastAsia="zh-CN" w:bidi="ar-SA"/>
        </w:rPr>
        <w:t>第二部分盐城</w:t>
      </w:r>
      <w:r>
        <w:rPr>
          <w:rFonts w:hint="default" w:ascii="宋体" w:hAnsi="宋体" w:eastAsia="宋体" w:cs="宋体"/>
          <w:b/>
          <w:bCs/>
          <w:i w:val="0"/>
          <w:iCs w:val="0"/>
          <w:color w:val="auto"/>
          <w:sz w:val="24"/>
          <w:szCs w:val="24"/>
          <w:highlight w:val="none"/>
          <w:vertAlign w:val="baseline"/>
          <w:lang w:val="en-US" w:eastAsia="zh-CN" w:bidi="ar-SA"/>
        </w:rPr>
        <w:t>技师学院</w:t>
      </w:r>
      <w:r>
        <w:rPr>
          <w:rFonts w:hint="default" w:ascii="宋体" w:hAnsi="宋体" w:eastAsia="Arial" w:cs="宋体"/>
          <w:b/>
          <w:bCs/>
          <w:i w:val="0"/>
          <w:iCs w:val="0"/>
          <w:color w:val="auto"/>
          <w:sz w:val="24"/>
          <w:szCs w:val="24"/>
          <w:highlight w:val="none"/>
          <w:vertAlign w:val="baseline"/>
          <w:lang w:val="en-US" w:eastAsia="zh-CN" w:bidi="ar-SA"/>
        </w:rPr>
        <w:t>图书馆中文图书著录细则</w:t>
      </w:r>
    </w:p>
    <w:p w14:paraId="76F96073">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一、总则</w:t>
      </w:r>
    </w:p>
    <w:p w14:paraId="3A9E8063">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一）本规则适用于中文普通图书著录。为了确保中文书目数据的著录的完整、准确、统一和规范，也为了方便编目人员的使用，本规则以CNMARC格式的字段为纲，将文献著录规则与机读目录格式结合起来加以叙述。</w:t>
      </w:r>
    </w:p>
    <w:p w14:paraId="ADC60351">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（二）本细则著录部分依据《普通图书著录规则》（GB3792-85）、机读目录格式部分则依据《中国机读目录格式使用手册》制定。</w:t>
      </w:r>
    </w:p>
    <w:p w14:paraId="F6607657">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二、著录信息源</w:t>
      </w:r>
    </w:p>
    <w:p w14:paraId="FB956791">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（一）普通图书著录的主要信息源为题名页，各著录项目的规定信息源如下表所示。取自规定信息源以外的著录信息可置于[ ]内，并在300字段加以说明。</w:t>
      </w:r>
    </w:p>
    <w:p w14:paraId="2688DEF9">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著录项目</w:t>
      </w:r>
      <w:r>
        <w:tab/>
      </w:r>
      <w:r>
        <w:rPr>
          <w:rFonts w:hint="default" w:ascii="宋体" w:hAnsi="宋体" w:eastAsia="Arial" w:cs="宋体"/>
          <w:b w:val="0"/>
          <w:bCs w:val="0"/>
          <w:i w:val="0"/>
          <w:iCs w:val="0"/>
          <w:color w:val="auto"/>
          <w:sz w:val="24"/>
          <w:szCs w:val="24"/>
          <w:highlight w:val="none"/>
          <w:vertAlign w:val="baseline"/>
          <w:lang w:val="en-US" w:eastAsia="zh-CN" w:bidi="ar-SA"/>
        </w:rPr>
        <w:t>规定信息源</w:t>
      </w:r>
    </w:p>
    <w:p w14:paraId="8F3B2645">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题名与责任说明项</w:t>
      </w:r>
      <w:r>
        <w:tab/>
      </w:r>
      <w:r>
        <w:rPr>
          <w:rFonts w:hint="default" w:ascii="宋体" w:hAnsi="宋体" w:eastAsia="Arial" w:cs="宋体"/>
          <w:b w:val="0"/>
          <w:bCs w:val="0"/>
          <w:i w:val="0"/>
          <w:iCs w:val="0"/>
          <w:color w:val="auto"/>
          <w:sz w:val="24"/>
          <w:szCs w:val="24"/>
          <w:highlight w:val="none"/>
          <w:vertAlign w:val="baseline"/>
          <w:lang w:val="en-US" w:eastAsia="zh-CN" w:bidi="ar-SA"/>
        </w:rPr>
        <w:t>题名页；无题名页的版权页、封面、序言等</w:t>
      </w:r>
    </w:p>
    <w:p w14:paraId="FE3507AE">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版本项</w:t>
      </w:r>
      <w:r>
        <w:tab/>
      </w:r>
      <w:r>
        <w:rPr>
          <w:rFonts w:hint="default" w:ascii="宋体" w:hAnsi="宋体" w:eastAsia="Arial" w:cs="宋体"/>
          <w:b w:val="0"/>
          <w:bCs w:val="0"/>
          <w:i w:val="0"/>
          <w:iCs w:val="0"/>
          <w:color w:val="auto"/>
          <w:sz w:val="24"/>
          <w:szCs w:val="24"/>
          <w:highlight w:val="none"/>
          <w:vertAlign w:val="baseline"/>
          <w:lang w:val="en-US" w:eastAsia="zh-CN" w:bidi="ar-SA"/>
        </w:rPr>
        <w:t>版权页或题名页、封面、出版说明等处</w:t>
      </w:r>
    </w:p>
    <w:p w14:paraId="C51C5E59">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出版、发行项</w:t>
      </w:r>
      <w:r>
        <w:tab/>
      </w:r>
      <w:r>
        <w:rPr>
          <w:rFonts w:hint="default" w:ascii="宋体" w:hAnsi="宋体" w:eastAsia="Arial" w:cs="宋体"/>
          <w:b w:val="0"/>
          <w:bCs w:val="0"/>
          <w:i w:val="0"/>
          <w:iCs w:val="0"/>
          <w:color w:val="auto"/>
          <w:sz w:val="24"/>
          <w:szCs w:val="24"/>
          <w:highlight w:val="none"/>
          <w:vertAlign w:val="baseline"/>
          <w:lang w:val="en-US" w:eastAsia="zh-CN" w:bidi="ar-SA"/>
        </w:rPr>
        <w:t>版权页或题名页、封面、出版说明等处</w:t>
      </w:r>
    </w:p>
    <w:p w14:paraId="B01AF3D6">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载体形态项</w:t>
      </w:r>
      <w:r>
        <w:tab/>
      </w:r>
      <w:r>
        <w:rPr>
          <w:rFonts w:hint="default" w:ascii="宋体" w:hAnsi="宋体" w:eastAsia="Arial" w:cs="宋体"/>
          <w:b w:val="0"/>
          <w:bCs w:val="0"/>
          <w:i w:val="0"/>
          <w:iCs w:val="0"/>
          <w:color w:val="auto"/>
          <w:sz w:val="24"/>
          <w:szCs w:val="24"/>
          <w:highlight w:val="none"/>
          <w:vertAlign w:val="baseline"/>
          <w:lang w:val="en-US" w:eastAsia="zh-CN" w:bidi="ar-SA"/>
        </w:rPr>
        <w:t>整部图书及附件</w:t>
      </w:r>
    </w:p>
    <w:p w14:paraId="2EEA8E3C">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丛编项</w:t>
      </w:r>
      <w:r>
        <w:tab/>
      </w:r>
      <w:r>
        <w:rPr>
          <w:rFonts w:hint="default" w:ascii="宋体" w:hAnsi="宋体" w:eastAsia="Arial" w:cs="宋体"/>
          <w:b w:val="0"/>
          <w:bCs w:val="0"/>
          <w:i w:val="0"/>
          <w:iCs w:val="0"/>
          <w:color w:val="auto"/>
          <w:sz w:val="24"/>
          <w:szCs w:val="24"/>
          <w:highlight w:val="none"/>
          <w:vertAlign w:val="baseline"/>
          <w:lang w:val="en-US" w:eastAsia="zh-CN" w:bidi="ar-SA"/>
        </w:rPr>
        <w:t>丛编/专著题名页、封面、封底、其它</w:t>
      </w:r>
    </w:p>
    <w:p w14:paraId="7C8BDEA9">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附注项</w:t>
      </w:r>
      <w:r>
        <w:tab/>
      </w:r>
      <w:r>
        <w:rPr>
          <w:rFonts w:hint="default" w:ascii="宋体" w:hAnsi="宋体" w:eastAsia="Arial" w:cs="宋体"/>
          <w:b w:val="0"/>
          <w:bCs w:val="0"/>
          <w:i w:val="0"/>
          <w:iCs w:val="0"/>
          <w:color w:val="auto"/>
          <w:sz w:val="24"/>
          <w:szCs w:val="24"/>
          <w:highlight w:val="none"/>
          <w:vertAlign w:val="baseline"/>
          <w:lang w:val="en-US" w:eastAsia="zh-CN" w:bidi="ar-SA"/>
        </w:rPr>
        <w:t>任何信息源</w:t>
      </w:r>
    </w:p>
    <w:p w14:paraId="BB12ADA3">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标准号与获得方式项</w:t>
      </w:r>
      <w:r>
        <w:tab/>
      </w:r>
      <w:r>
        <w:rPr>
          <w:rFonts w:hint="default" w:ascii="宋体" w:hAnsi="宋体" w:eastAsia="Arial" w:cs="宋体"/>
          <w:b w:val="0"/>
          <w:bCs w:val="0"/>
          <w:i w:val="0"/>
          <w:iCs w:val="0"/>
          <w:color w:val="auto"/>
          <w:sz w:val="24"/>
          <w:szCs w:val="24"/>
          <w:highlight w:val="none"/>
          <w:vertAlign w:val="baseline"/>
          <w:lang w:val="en-US" w:eastAsia="zh-CN" w:bidi="ar-SA"/>
        </w:rPr>
        <w:t>任何信息源</w:t>
      </w:r>
    </w:p>
    <w:p w14:paraId="D3A0CC83">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（二）集中著录的文献应依据首卷册著录；若首卷册未入藏，应查明其它卷册情况，并在300字段注明“据第×卷（册）著录”。无法确定时，应根据信息源最充分者著录。</w:t>
      </w:r>
    </w:p>
    <w:p w14:paraId="41907445">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三、著录用文字</w:t>
      </w:r>
    </w:p>
    <w:p w14:paraId="4D178AC5">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一）题名与责任说明项、版本项、文献特殊细节项、出版发行项和丛编项一般按所著录文献本身的文字（数字除外）著录，无法按文献本身文字著录的图形及符号等，可改用相应内容的其它形式著录，并用方括号“[ ]”括起。如转录的文字出现谬误，应如实照录，同时在300字段加以说明。</w:t>
      </w:r>
    </w:p>
    <w:p w14:paraId="5613D313">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（二）载体形态项、附注项、标准编号与获得方式项，除文献原题名、引用部分及识别题名外，一般用规范化的汉字（汉字古籍可用繁体字）著录。</w:t>
      </w:r>
    </w:p>
    <w:p w14:paraId="B66AE9E4">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四、书目数据录入原则</w:t>
      </w:r>
    </w:p>
    <w:p w14:paraId="AE5C3BE1">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（一）除必须用全角状态输入的字符外，其他基本上在半角状态下录入数据。</w:t>
      </w:r>
    </w:p>
    <w:p w14:paraId="A473FAA7">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（二）凡同时在拉丁字符集与汉字字符集中出现的字符（如阿拉伯数字、罗马数字、某些标点符号），采用拉丁字符集（西文状态）输入。</w:t>
      </w:r>
    </w:p>
    <w:p w14:paraId="7500D173">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（三）凡著录中所需标点符号的录入按照西文书写习惯执行。</w:t>
      </w:r>
    </w:p>
    <w:p w14:paraId="88727AFA">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（四）须用全角状态（或汉字字符集）输入的标点符号（不是著录用的标识符）有：顿号（、）、中圆点（•）、中文句号（。）、书名号（《》）和引号（“”）。</w:t>
      </w:r>
    </w:p>
    <w:p w14:paraId="48342EDF">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（五）表外汉字的处理方法用“[拼音]”表示（方括号中为小写的汉语拼音）。</w:t>
      </w:r>
    </w:p>
    <w:p w14:paraId="4ABF54C3">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（六）西文题名的书写按西文书写习惯执行。</w:t>
      </w:r>
    </w:p>
    <w:p w14:paraId="9DB63B2C">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（七）不同文字和数字混用时，按照以下规则录入：</w:t>
      </w:r>
    </w:p>
    <w:p w14:paraId="5B91A2AA">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1、英文与数字：无论谁先谁后均不空位；</w:t>
      </w:r>
    </w:p>
    <w:p w14:paraId="3155DA00">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2、数字和中文：无论谁先谁后均不空位；</w:t>
      </w:r>
    </w:p>
    <w:p w14:paraId="87576B83">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3、英文与中文：无论谁先谁后均不空位。</w:t>
      </w:r>
    </w:p>
    <w:p w14:paraId="4ABC6E86">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五、各著录单元的著录规则</w:t>
      </w:r>
    </w:p>
    <w:p w14:paraId="A80446C5">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（一）010国际标准书号（ISBN）</w:t>
      </w:r>
    </w:p>
    <w:p w14:paraId="1CD48E01">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本字段用于记录ISBN及其限定内容、文献获得方式、定价。本字段有则必备，可重复。</w:t>
      </w:r>
    </w:p>
    <w:p w14:paraId="DEB01D0C">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本字段包含四个子字段：</w:t>
      </w:r>
    </w:p>
    <w:p w14:paraId="8D5B4579">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$a子字段，记录正确的ISBN，包括数字和短横；本子字段有则必备，不可重复。</w:t>
      </w:r>
    </w:p>
    <w:p w14:paraId="78F0E7DC">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•同一图书具有多个有效的ISBN，可重复010字段；</w:t>
      </w:r>
    </w:p>
    <w:p w14:paraId="CABC7214">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•同一种书不同印次，ISBN不同，重复010字段。</w:t>
      </w:r>
    </w:p>
    <w:p w14:paraId="D186FE35">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•同一种图书，有平装和精装两种版本，且ISBN不同时，或ISBN相同，但价格不同时，均重复010字段。</w:t>
      </w:r>
    </w:p>
    <w:p w14:paraId="55730E02">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•若集中著录的多卷图书，有整套和分卷的ISBN者，应优先著录整套图书的ISBN，再著录分卷的ISBN。</w:t>
      </w:r>
    </w:p>
    <w:p w14:paraId="61F738BF">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•当图书附带光盘时，若图书和光盘有各自的ISBN和ISRC时，将图书的 ISBN著录在010字段，光盘的ISRC著录在300字段。有时光盘也有ISBN，将其著录在010字段。</w:t>
      </w:r>
    </w:p>
    <w:p w14:paraId="ED03FB12">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$b子字段，是对于$a子字段中ISBN的范围的说明，通常是指出版商名、编目文献的装订方式，或者是ISBN与整套文献或特定卷册的关系说明。本子字段有则必备，不可重复。</w:t>
      </w:r>
    </w:p>
    <w:p w14:paraId="00DB0F43">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•图书的装帧形式，除平装可省略外，其它装帧形式如：精装、盒装、线装等都要在$b子字段中给予反映。</w:t>
      </w:r>
    </w:p>
    <w:p w14:paraId="2DDDD4BF">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•图书的卷册信息，应著录在此子字段。它的表达形式是：按在编文献出现的卷册形式如实照录。</w:t>
      </w:r>
    </w:p>
    <w:p w14:paraId="B88DD650">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•若有限定ISBN的“精装、盒装”等信息应放在卷期限定信息前面，形式为：$b精装#;#6（使用半角录入分隔符号，分号前后各空一字符位）</w:t>
      </w:r>
    </w:p>
    <w:p w14:paraId="06E3F1E5">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$d子字段，著录获得方式和定价，本子字段不可重复。</w:t>
      </w:r>
    </w:p>
    <w:p w14:paraId="6E5051D1">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•若文献上已注明是“非卖品”，且无价格，则在$d上注明，否则不著录。</w:t>
      </w:r>
    </w:p>
    <w:p w14:paraId="6D372EF4">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•“赠”、“交换”等属于个别复本获取途径的说明，不著录在$d子字段。</w:t>
      </w:r>
    </w:p>
    <w:p w14:paraId="E2B14FF7">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（二）101 文献语种</w:t>
      </w:r>
    </w:p>
    <w:p w14:paraId="91BABA61">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本字段用于记录文献题名及其正文的语种代码。如为译著，还需揭示其原著语种。本字段必备，不可重复。</w:t>
      </w:r>
    </w:p>
    <w:p w14:paraId="B2E1F9E4">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•指示符1：0=原著；1=译著；2=含译文（编译文献选用此代码，若仅仅是文献中的文章摘要等翻译，不应用此代码。）通常情况下，字典、词典用：“0#”，对照读物用“2#”。</w:t>
      </w:r>
    </w:p>
    <w:p w14:paraId="6BB0B759">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•若文献为译著，则$a录入正文语种，$c录入原著语种；如果文献并非译自原著而是转译自某中间语种时，录入方法是：$a 正文语种$b中间语种$c原著语种。</w:t>
      </w:r>
    </w:p>
    <w:p w14:paraId="2DF034A8">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•当文献的提要或文摘语种与正文语种不同时，将该语种著录于$d子字段。</w:t>
      </w:r>
    </w:p>
    <w:p w14:paraId="595DDDDC">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（三）2××著录信息块</w:t>
      </w:r>
    </w:p>
    <w:p w14:paraId="B41D8D10">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本信息块包括除附注项与国际标准书号以外的主要著录项目。常用字段有：200、205、210、215、225。</w:t>
      </w:r>
    </w:p>
    <w:p w14:paraId="2A648418">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1、200题名与责任说明项</w:t>
      </w:r>
    </w:p>
    <w:p w14:paraId="7020AE76">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按照所编目的文献上出现的形式如实照录文献的正题名、并列题名、其它题名信息、责任说明等。本字段必备，不可重复。</w:t>
      </w:r>
    </w:p>
    <w:p w14:paraId="D333105F">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2、$a正题名子字段（必备,可重复）</w:t>
      </w:r>
    </w:p>
    <w:p w14:paraId="3BDA67AA">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正题名是图书的主要题名，著录时原则上按照规定信息源所载题名如实照录。正题名中所含标点、符号、数字、汉语拼音、外文字母及其起语法标点作用的空位原则上客观照录。为避免与本项著录用标识符混淆，正题名所含方括号应改用圆括号；正题名中所含“/”用半角录入，不加任何空位。</w:t>
      </w:r>
    </w:p>
    <w:p w14:paraId="557CFA71">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•交替题名是正题名的一部分，著录于正题名第一部分之后，用“,又名,”表示。</w:t>
      </w:r>
    </w:p>
    <w:p w14:paraId="08049CDA">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•规定信息源有两种或两种以上文种题名，应选择与图书正文文种相同的题名为正题名著录（即正题名可以是外文）。</w:t>
      </w:r>
    </w:p>
    <w:p w14:paraId="4FD90514">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无总题名图书的合订题名，若为同一责任者，则正题名依次重复著录于$a子字段；若为不同责任者,则第一个正题名为$a，其它正题名依次著录在200$c子字段。正题名超过三个只著录第一个正题名及责任者，其后用省略号“…”表示，其余的题名在300字段说明。</w:t>
      </w:r>
    </w:p>
    <w:p w14:paraId="78CF5828">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3、$d并列题名子字段（可重复）</w:t>
      </w:r>
    </w:p>
    <w:p w14:paraId="9703541A">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•题名页有两种或多种文种的题名信息，未被选作正题名的其它文种题名应作为并列题名著录于正题名之后$d子字段,并在并列题名前加“=”。</w:t>
      </w:r>
    </w:p>
    <w:p w14:paraId="2FBA96C0">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4、$e其它题名信息子字段（可重复）</w:t>
      </w:r>
    </w:p>
    <w:p w14:paraId="B1520FCF">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•其它题名信息指的是出现在规定信息源上正题名、并列题名之外的题名补充信息，应著录在与其相关的题名之后的$e子字段。</w:t>
      </w:r>
    </w:p>
    <w:p w14:paraId="B6F88D72">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5、$h分辑号</w:t>
      </w:r>
    </w:p>
    <w:p w14:paraId="FC4B4733">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有共同名称或分辑名称标识的文献的分辑或分卷册的编号。</w:t>
      </w:r>
    </w:p>
    <w:p w14:paraId="81764C10">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6、$i分辑名</w:t>
      </w:r>
    </w:p>
    <w:p w14:paraId="BFE248DC">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本子字段含有具有共同名称或分辑名称的文献，其分辑或分册选用的一种较通用的名称</w:t>
      </w:r>
    </w:p>
    <w:p w14:paraId="50C51639">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7、责任说明（可重复）</w:t>
      </w:r>
    </w:p>
    <w:p w14:paraId="FFFCB807">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责任说明主要指对文献的知识内容负主要责任的个人或团体，第一责任说明著录在$f子字段，其它责任说明著录在$g子字段。</w:t>
      </w:r>
    </w:p>
    <w:p w14:paraId="D355DE71">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•责任说明按规定信息源原题名称形式和顺序如实照录（“本书编委会”、“××，××，××等著”也是如实照录，不必改成“××编委会”、“××等著”）。</w:t>
      </w:r>
    </w:p>
    <w:p w14:paraId="549DC3F3">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•责任说明应著录在其负有责任的相应题名之后。</w:t>
      </w:r>
    </w:p>
    <w:p w14:paraId="483DDF1B">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•著录同一责任方式的多个责任者，一般不超过三个，只有一个照常著录，两个责任者用“，”分隔；若超过三个只著录第一个，后加“等”表示。</w:t>
      </w:r>
    </w:p>
    <w:p w14:paraId="1C8D5E93">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若文献题名页上的个人责任者既有主编，又有编者时，只著录主编，编者不著；若文献题名页上的主编为个人责任者，而编者为团体机构时，则该团体机构责任者仍须著录。既有主编，又有编著者、编纂者、编写者等不同于主编或编者的责任方式时，第一责任说明著录在$f子字段，其他责任说明著录在$g子字段，若其它责任方式不止一种，则重复$g子字段。</w:t>
      </w:r>
    </w:p>
    <w:p w14:paraId="061A187A">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•文献题名中已包含责任者名，而规定信息源中又没有相应的责任说明时，不必另加责任说明，只要在7×1字段反映即可。</w:t>
      </w:r>
    </w:p>
    <w:p w14:paraId="CA96955D">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个人责任者名称前后冠有头衔等字样，一般不予著录。若外国责任者在题名页同时载有汉译名与另一文种的姓名，而题名项只有中文，则重复$f或$g子字段，将另一文种的姓名著录于汉译姓名后，其前用等号“=”标识。</w:t>
      </w:r>
    </w:p>
    <w:p w14:paraId="3F6B0F07">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责任者的责任方式应根据规定信息源所示如实著录，若著录信息源上的责任者与责任方式表现为“主编×××”，则相应的著录形式也是“主编×××”。责任方式与责任者之间不加空位。若规定信息源未予载明，则不必另加。如必须反映时，可置于“[ ]”中。</w:t>
      </w:r>
    </w:p>
    <w:p w14:paraId="4B11FC73">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•国内责任者（包括香港、澳门、台湾）不必注明国别或地区名称。</w:t>
      </w:r>
    </w:p>
    <w:p w14:paraId="FC781CB6">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•外国责任者载明国别的，国别简称著录于责任者前，并置于“（）”内。</w:t>
      </w:r>
    </w:p>
    <w:p w14:paraId="EFA573D0">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（四）205版本项</w:t>
      </w:r>
    </w:p>
    <w:p w14:paraId="25C64E91">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本字段包括有关文献的版本说明、附加版本说明及与本版有关的责任说明。本字段可重复。</w:t>
      </w:r>
    </w:p>
    <w:p w14:paraId="379862B0">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本字段设三个子字段：$a版本说明；$b附加版本说明；$c与本版有关的责任说明</w:t>
      </w:r>
    </w:p>
    <w:p w14:paraId="3B798354">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•除第1版外，各个版次均著录于$a子字段，版次一律用阿拉伯数字表示。著录时需用“×版”的形式。</w:t>
      </w:r>
    </w:p>
    <w:p w14:paraId="273C84D7">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•版次之外的其它版本说明应著录在$b子字段；若无版次说明，只有文字形式的版本说明，如“影印本、修订本”等，则著录于$a子字段。</w:t>
      </w:r>
    </w:p>
    <w:p w14:paraId="4FA87AB1">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•版本说明文字已经成为书名的组成部分时,不能著录在版本项。如：新版英汉大辞典。</w:t>
      </w:r>
    </w:p>
    <w:p w14:paraId="6AAA0D7E">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（五）210出版、发行项</w:t>
      </w:r>
    </w:p>
    <w:p w14:paraId="129E57FB">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本字段著录有关文献的出版、发行和制作方面的信息。本字段不可重复。</w:t>
      </w:r>
    </w:p>
    <w:p w14:paraId="CDD04149">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1、$a出版地或发行地</w:t>
      </w:r>
    </w:p>
    <w:p w14:paraId="5F1E979F">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•出版、发行地是指规定信息源所载出版、发行者所在的城市名称，有出版地时不著发行地。为避免重名和识别不知名的地名可在城市名后圆括号中加上其所属省份、国别。</w:t>
      </w:r>
    </w:p>
    <w:p w14:paraId="DAAFE40E">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•图书题有两个出版、发行地，重复$a子字段；题有三个以上者，按原题顺序著录第一个地名，后加“等”字样。</w:t>
      </w:r>
    </w:p>
    <w:p w14:paraId="C0A206AC">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•当图书未载明出版、发行地时可推测著录，推测的出版发行地置于方括号中；无法推测出具体城市时，可著录所推测的省或国家名称；无从查考时，可著录为“出版地不详”，并用方括号括起。</w:t>
      </w:r>
    </w:p>
    <w:p w14:paraId="C7D4B91C">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2、$c出版者或发行者</w:t>
      </w:r>
    </w:p>
    <w:p w14:paraId="1351BBB0">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•出版、发行者著录于出版、发行地之后的$c子字段。原则上以出版发行机构为准；图书有出版者时,不著发行者。如仅有发行者名称时，则该发行者必须著录（其后不必加发行字样）。</w:t>
      </w:r>
    </w:p>
    <w:p w14:paraId="E02FBA1B">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•同时充当责任者的出版者，不可著录“著者”、“编者”等字样。</w:t>
      </w:r>
    </w:p>
    <w:p w14:paraId="BC5AB6B3">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图书题有两个出版、发行者，若两个出版、发行者同属一个出版地，重复$c子字段；若分属不同出版地，则著录顺序为$a$c$a$c。题有三个以上（含3个）者，接原题顺序著录第一个出版、发行者，后加“等”字样。</w:t>
      </w:r>
    </w:p>
    <w:p w14:paraId="F749A3AE">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•当图书未载明出版、发行者时可推测著录，推测的出版发行者置于方括号中；无从查考时，可著录为“出版者不详”，并用方括号括起。</w:t>
      </w:r>
    </w:p>
    <w:p w14:paraId="19132653">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3、$d出版年或发行年</w:t>
      </w:r>
    </w:p>
    <w:p w14:paraId="602331BC">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•出版、发行年著录于出版者之后的$d子字段。</w:t>
      </w:r>
    </w:p>
    <w:p w14:paraId="03F2E3DE">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•出版年一律用阿拉伯数字著录，并只著录到年。</w:t>
      </w:r>
    </w:p>
    <w:p w14:paraId="4766D0A9">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•图书未载明出版、发行年，可著录考证推测的一个年代，并置于方括号内。如[1988]；[1988？]；[197-?]；[19--?]。</w:t>
      </w:r>
    </w:p>
    <w:p w14:paraId="C8CF7EFC">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（六）215载体形态项</w:t>
      </w:r>
    </w:p>
    <w:p w14:paraId="901724BD">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本字段说明图书的形态特征。本字段可重复。</w:t>
      </w:r>
    </w:p>
    <w:p w14:paraId="FB40BA99">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5、$a特定资料标识及文献数量</w:t>
      </w:r>
    </w:p>
    <w:p w14:paraId="976C771C">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•著录页数或/和卷册数及与图书文字不连续编码的图版的页数。著录页码时，数字（无论是阿拉伯数字还是罗马数字）依出版物上出现的实际情况著录。</w:t>
      </w:r>
    </w:p>
    <w:p w14:paraId="0F4F306A">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•集中著录的多卷书，页数连续编码时，先著总册数，并将总页数著在其后的圆括号中；当各卷图书单独编码时，3册以内（含3册）先著总册数，再将各卷正文页数分段著录在其后的括号内，3册以上只著总册数。</w:t>
      </w:r>
    </w:p>
    <w:p w14:paraId="0631B1D7">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•多卷书分散著录时，如页数为连续编码，则著录起迄页码，中间用连字符“-”连接。</w:t>
      </w:r>
    </w:p>
    <w:p w14:paraId="2FF163E2">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•图书未标明页码或多段编码（3段以上，不含3段）时，可著录为1册。</w:t>
      </w:r>
    </w:p>
    <w:p w14:paraId="2ED4FCC1">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6、$c图及其它形态细节</w:t>
      </w:r>
    </w:p>
    <w:p w14:paraId="686A7FB7">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•内容主要由图组成或书名已明确为图的文献，仍需著录“图”字。</w:t>
      </w:r>
    </w:p>
    <w:p w14:paraId="49BEAD84">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•有图、彩图、地图、肖像、摹真等时应按顺序逐一列出，中间用“，”标识。难以列出图的类型时，著录为“图”；表格不著录。</w:t>
      </w:r>
    </w:p>
    <w:p w14:paraId="58B79D3B">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7、$d尺寸</w:t>
      </w:r>
    </w:p>
    <w:p w14:paraId="FF50B137">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•尺寸用阿拉伯数字著录，以cm为单位，不足1cm的尾数按1cm计算。</w:t>
      </w:r>
    </w:p>
    <w:p w14:paraId="BBDB9A3E">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8、$e附件</w:t>
      </w:r>
    </w:p>
    <w:p w14:paraId="9B9A716A">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附件是分离于图书的主体部分，并与图书结合使用的附加材料，著录于尺寸之后的$e子字段。</w:t>
      </w:r>
    </w:p>
    <w:p w14:paraId="E1C180CE">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•附件的著录形式：附件类型、附件数量及计量单位。附件的数量用阿拉伯数字，单位可用“张、袋、册、片、页、叶”等，如：</w:t>
      </w:r>
    </w:p>
    <w:p w14:paraId="9492E0DD">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说明书（16页; 26cm）（已经编页的单册说明书，且说明书的开本与原书开本不同）</w:t>
      </w:r>
    </w:p>
    <w:p w14:paraId="E487ED4E">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说明书10叶（单面印刷、散页、未编页码的说明书）</w:t>
      </w:r>
    </w:p>
    <w:p w14:paraId="38DA66AF">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折图1袋（18张）</w:t>
      </w:r>
    </w:p>
    <w:p w14:paraId="F596743C">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•软盘、光盘、唱片等计量单位统一用“片”。</w:t>
      </w:r>
    </w:p>
    <w:p w14:paraId="6FD7C9EC">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（七）225丛编项</w:t>
      </w:r>
    </w:p>
    <w:p w14:paraId="924C16D3">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本字段著录丛编的正题名、并列题名、其它题名信息、责任说明、分丛编名、卷册标识及有关丛编的其它信息。本字段可重复。</w:t>
      </w:r>
    </w:p>
    <w:p w14:paraId="11DEC013">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•某些丛书尽管未注明为丛书，而是用“文库、文集、系列”等表示，实际上具有丛编性质，也应按丛编著录。</w:t>
      </w:r>
    </w:p>
    <w:p w14:paraId="B5734991">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（八）3××附注块</w:t>
      </w:r>
    </w:p>
    <w:p w14:paraId="EF62C191">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本附注块可采取自由行文的方式对以上各项因著录规则的规定未予著录而又必须进一步补充说明的内容加以说明。</w:t>
      </w:r>
    </w:p>
    <w:p w14:paraId="3126628F">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（九）606普通主题分析块</w:t>
      </w:r>
    </w:p>
    <w:p w14:paraId="45CAF3E3">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有套录数据的依套录数据为依据参考在版编目进行修改；无套录数据的依据在版编目进行主题标引，有检索意义又不在$a字段的主题词，将此主题词著录于另一个606字段的$a子字段；无套录数据、又无在版编目数据或以上两者主题标引错误的，按《中国分类主题词表》抽取主题词进行标引。</w:t>
      </w:r>
    </w:p>
    <w:p w14:paraId="9A951217">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•主题组配时，无论是限制性组配还是交叉组配均用$x。</w:t>
      </w:r>
    </w:p>
    <w:p w14:paraId="45EB521D">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•文献类型启用$j子字段表示。（$j的使用请参照文献类型常用词表）</w:t>
      </w:r>
    </w:p>
    <w:p w14:paraId="AFA5347D">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•地区复分用$y</w:t>
      </w:r>
    </w:p>
    <w:p w14:paraId="F0A440F4">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•年代复分用$z</w:t>
      </w:r>
    </w:p>
    <w:p w14:paraId="3E6A0E31">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（十）7××知识责任块</w:t>
      </w:r>
    </w:p>
    <w:p w14:paraId="46C18CB9">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本功能块著录对所编文献的内容负有知识责任的个人或团体、会议的名称。</w:t>
      </w:r>
    </w:p>
    <w:p w14:paraId="8C38DFB4">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•不同责任方式责任者每一项最多可选择3个。</w:t>
      </w:r>
    </w:p>
    <w:p w14:paraId="410B0BE0">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•对著作负有主要知识责任的个人名称的规范的检索点形式著录在701字段，最多可选择3个。次要的知识责任说明的个人名称记录在702字段。</w:t>
      </w:r>
    </w:p>
    <w:p w14:paraId="E7C0B39D">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•对著作负有主要知识责任的团体名称的规范的检索点形式著录在711字段。次要的知识责任说明的团体名称记录在712字段。</w:t>
      </w:r>
    </w:p>
    <w:p w14:paraId="F0AA7B70">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•当主、次要责任方式的责任者相同时，只在7×1字段为其作责任者检索点。</w:t>
      </w:r>
    </w:p>
    <w:p w14:paraId="2D762535">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•当责任者为“本书编辑部”、“本书编写组”时，不在71×字段设立检索点。（同理，责任者为“书名+编辑部或编写组”时，也不在7××字段设立检索点）</w:t>
      </w:r>
    </w:p>
    <w:p w14:paraId="2E94FF0D">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•外国责任者的著录形式：以书名页如实照录，不著录国别。</w:t>
      </w:r>
    </w:p>
    <w:p w14:paraId="50B12B91">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（十一）801数据来源字段</w:t>
      </w:r>
    </w:p>
    <w:p w14:paraId="89D7204E">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本字段是对记录来源的说明，本字段必备，可重复。</w:t>
      </w:r>
    </w:p>
    <w:p w14:paraId="2677386B">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•套录数据时应保留原始编目机构的801字段,如对书目数据做了较大的修改可加上本馆修改记录的801字段。</w:t>
      </w:r>
    </w:p>
    <w:p w14:paraId="4246489E">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六、本馆采用“Interlib自动化管理软件系统”进行编目，数据采用CNMARC标准。（注意200、517、701、702等字段的子字段为“＄9”,不是“＄A”）</w:t>
      </w:r>
    </w:p>
    <w:p w14:paraId="426E68C3">
      <w:pPr>
        <w:spacing w:line="500" w:lineRule="exact"/>
        <w:ind w:firstLine="480"/>
        <w:jc w:val="both"/>
      </w:pPr>
    </w:p>
    <w:p w14:paraId="0AC3B476">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附录: 文献类型主题词表</w:t>
      </w:r>
    </w:p>
    <w:p w14:paraId="9969E75A">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为了使主题标引达到统一与一致，现暂选用以下主题词作为文献类型主题词。</w:t>
      </w:r>
    </w:p>
    <w:p w14:paraId="BF2BB8F6">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/教材、教学参考资料、自学参考资料/</w:t>
      </w:r>
    </w:p>
    <w:p w14:paraId="016AD474">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/习题、试题、解题、图解/</w:t>
      </w:r>
    </w:p>
    <w:p w14:paraId="4706120F">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/摄影集、图集、地图集/</w:t>
      </w:r>
    </w:p>
    <w:p w14:paraId="F6EA82A8">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/文集、选集、全集、作品集、会议录/</w:t>
      </w:r>
    </w:p>
    <w:p w14:paraId="E5DC83BD">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/学位论文、毕业论文/</w:t>
      </w:r>
    </w:p>
    <w:p w14:paraId="778CAC6D">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/人名录、名录、目录、索引、文摘/</w:t>
      </w:r>
    </w:p>
    <w:p w14:paraId="95329530">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/手册、指南、字典、词典、百科全书/</w:t>
      </w:r>
    </w:p>
    <w:p w14:paraId="AFB18321">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/丛书、年鉴、期刊/</w:t>
      </w:r>
    </w:p>
    <w:p w14:paraId="6987AF45">
      <w:pPr>
        <w:spacing w:line="500" w:lineRule="exact"/>
        <w:ind w:firstLine="480"/>
        <w:jc w:val="both"/>
      </w:pPr>
      <w:r>
        <w:rPr>
          <w:rFonts w:hint="default" w:ascii="宋体" w:hAnsi="宋体" w:eastAsia="Arial" w:cs="宋体"/>
          <w:b w:val="0"/>
          <w:bCs w:val="0"/>
          <w:i w:val="0"/>
          <w:iCs w:val="0"/>
          <w:color w:val="auto"/>
          <w:sz w:val="24"/>
          <w:szCs w:val="24"/>
          <w:highlight w:val="none"/>
          <w:vertAlign w:val="baseline"/>
          <w:lang w:val="en-US" w:eastAsia="zh-CN" w:bidi="ar-SA"/>
        </w:rPr>
        <w:t xml:space="preserve">/普及读物、通俗读物、对照读物、语言读物/ </w:t>
      </w:r>
    </w:p>
    <w:p w14:paraId="A00BBBEF">
      <w:pPr>
        <w:spacing w:line="500" w:lineRule="exact"/>
        <w:ind w:firstLine="640"/>
        <w:jc w:val="center"/>
      </w:pPr>
      <w:r>
        <w:rPr>
          <w:rFonts w:hint="default" w:ascii="宋体" w:hAnsi="宋体" w:eastAsia="宋体" w:cs="宋体"/>
          <w:b/>
          <w:bCs/>
          <w:i w:val="0"/>
          <w:iCs w:val="0"/>
          <w:color w:val="auto"/>
          <w:sz w:val="24"/>
          <w:szCs w:val="24"/>
          <w:highlight w:val="none"/>
          <w:vertAlign w:val="baseline"/>
          <w:lang w:val="en-US" w:eastAsia="zh-CN" w:bidi="ar-SA"/>
        </w:rPr>
        <w:t>第三部分 盐城技师学院图书加工要求</w:t>
      </w:r>
    </w:p>
    <w:p w14:paraId="BC3B7E1F">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以下所有服务内容均须中标人到盐城技师学院图书馆现场完成。所有加工耗材费用包括磁条、书标、条形码、书标保护膜、RFID电子标签等均由中标人提供。</w:t>
      </w:r>
    </w:p>
    <w:p w14:paraId="B7559FEA">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（1）图书验收后，中标人按图书加工要求依图书批次到馆完成盖馆藏章、粘贴条形码、书标、RFID电子标签、加贴防盗磁条的加工工序。</w:t>
      </w:r>
    </w:p>
    <w:p w14:paraId="2756D294">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（2）图书编目、著录、粘贴标签、打包配送、上架（各部门）等工作，其中编目人员应具有国家图书馆培训编目员上岗证书。</w:t>
      </w:r>
    </w:p>
    <w:p w14:paraId="62F2D3BC">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3）图书编目数据依据CNMARC（按国家图书馆数据标准）和采购单位编目要求进行编目。分类以《中国图书馆分类法》（第五版）作为中文图书的分类标准和依据。严格按《中国图书馆分类法》各级类目的图书分类原则进行分类。具体编目规则按《盐城技师学院图书馆编目细则》实施。</w:t>
      </w:r>
    </w:p>
    <w:p w14:paraId="519432C7">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（4）磁条的加工要求</w:t>
      </w:r>
    </w:p>
    <w:p w14:paraId="AEF19BD3">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①必须贴永久性磁条，费用由中标人承担。</w:t>
      </w:r>
    </w:p>
    <w:p w14:paraId="DAE43CC9">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②按书的厚度，至少每壹厘米贴一根磁条，要求所贴磁条的隐蔽性良好。</w:t>
      </w:r>
    </w:p>
    <w:p w14:paraId="EB13A3B6">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（5）加盖馆藏章要求</w:t>
      </w:r>
    </w:p>
    <w:p w14:paraId="E7742D97">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①供应商按采购人提供印章样式自行刻制馆藏章；</w:t>
      </w:r>
    </w:p>
    <w:p w14:paraId="7B03C7E9">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②每册图书加盖贰个馆藏章，使用蓝色印油；</w:t>
      </w:r>
    </w:p>
    <w:p w14:paraId="5AE07A5C">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③第1个馆藏章位置：书名页正中，条形码正上方；</w:t>
      </w:r>
    </w:p>
    <w:p w14:paraId="E29604E0">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④第2个馆藏章位置：盖骑缝章。</w:t>
      </w:r>
    </w:p>
    <w:p w14:paraId="EA94F0CA">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（6）贴条形码</w:t>
      </w:r>
    </w:p>
    <w:p w14:paraId="2A358141">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①盐城技师学院图书馆提供条形码号段，中标人负责打印粘贴，费用由中标人承担。</w:t>
      </w:r>
    </w:p>
    <w:p w14:paraId="11B1A58C">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②贴书标</w:t>
      </w:r>
    </w:p>
    <w:p w14:paraId="857F7271">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A.贴在书脊位置的书标，书标由供应商按采购人要求提供；</w:t>
      </w:r>
    </w:p>
    <w:p w14:paraId="D05331CF">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B.每册书贴两个同号书标：第一个：书名页左上角紧靠书脊位置，若有文字，可向下调整到合适的地方；第二个：书脊下方距底边2.5厘米的位置；</w:t>
      </w:r>
    </w:p>
    <w:p w14:paraId="53C1C150">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C.对书脊、封面空白、书内无条形码ISBN编号且有封套的书籍以及线装书，需用胶带将随书封套固定。。</w:t>
      </w:r>
    </w:p>
    <w:p w14:paraId="F0EB761D">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D.保护膜费用由中标单位提供。</w:t>
      </w:r>
    </w:p>
    <w:p w14:paraId="6CA37A5A">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（7）贴RFID电子标签（高频）</w:t>
      </w:r>
    </w:p>
    <w:p w14:paraId="D3BF66B3">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每本图书贴一张，贴于图书封底背面，RFID标签为避免相邻图书信号屏蔽，因此要求错落加贴位置，并且和条码不在同一页上。RFID电子标签由中标人提供,要求：</w:t>
      </w:r>
    </w:p>
    <w:p w14:paraId="753810DF">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A.符合标准：兼容RFID标准ISO15693、ISO18000-3，工作频率：13.56MHz；</w:t>
      </w:r>
    </w:p>
    <w:p w14:paraId="EF8F3B78">
      <w:pPr>
        <w:spacing w:line="500" w:lineRule="exact"/>
        <w:ind w:firstLine="480"/>
        <w:jc w:val="both"/>
      </w:pPr>
      <w:r>
        <w:rPr>
          <w:rFonts w:hint="default" w:ascii="宋体" w:hAnsi="宋体" w:eastAsia="宋体" w:cs="宋体"/>
          <w:b w:val="0"/>
          <w:bCs w:val="0"/>
          <w:i w:val="0"/>
          <w:iCs w:val="0"/>
          <w:color w:val="auto"/>
          <w:sz w:val="24"/>
          <w:szCs w:val="24"/>
          <w:highlight w:val="none"/>
          <w:vertAlign w:val="baseline"/>
          <w:lang w:val="en-US" w:eastAsia="zh-CN" w:bidi="ar-SA"/>
        </w:rPr>
        <w:t>B.尺寸：50mm*50mm有效使用寿命：≥10年；内存容量：≥1024bits；有效擦写次数：≥10万次；有效识读距离：自助借还设备≥ 250mm,防盗门≥ 500mm；</w:t>
      </w:r>
    </w:p>
    <w:p w14:paraId="5673A442">
      <w:pPr>
        <w:spacing w:line="500" w:lineRule="exact"/>
        <w:ind w:firstLine="480"/>
        <w:jc w:val="both"/>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t>C.芯片为无源标签，可以非接触式地读取和写入，加快文献流通的处理速度；固有频率误差率小于或等于±300K Hz范围，具备（EAS）和（AFI）防盗方式；自带不干胶、单片标签，具有一定的抗冲突性，能保证多个标签地同时可靠识别；具有不可改写的唯一序列号（UID）供识别和加密。</w:t>
      </w:r>
    </w:p>
    <w:p w14:paraId="32819D16">
      <w:pPr>
        <w:spacing w:line="500" w:lineRule="exact"/>
        <w:jc w:val="both"/>
        <w:rPr>
          <w:rFonts w:hint="default" w:ascii="宋体" w:hAnsi="宋体" w:eastAsia="宋体" w:cs="宋体"/>
          <w:b w:val="0"/>
          <w:bCs w:val="0"/>
          <w:i w:val="0"/>
          <w:iCs w:val="0"/>
          <w:color w:val="auto"/>
          <w:sz w:val="24"/>
          <w:szCs w:val="24"/>
          <w:highlight w:val="none"/>
          <w:vertAlign w:val="baseline"/>
          <w:lang w:val="en-US" w:eastAsia="zh-CN" w:bidi="ar-SA"/>
        </w:rPr>
      </w:pPr>
    </w:p>
    <w:p w14:paraId="1FD31302">
      <w:pPr>
        <w:rPr>
          <w:rFonts w:hint="default" w:ascii="宋体" w:hAnsi="宋体" w:eastAsia="宋体" w:cs="宋体"/>
          <w:b w:val="0"/>
          <w:bCs w:val="0"/>
          <w:i w:val="0"/>
          <w:iCs w:val="0"/>
          <w:color w:val="auto"/>
          <w:sz w:val="24"/>
          <w:szCs w:val="24"/>
          <w:highlight w:val="none"/>
          <w:vertAlign w:val="baseline"/>
          <w:lang w:val="en-US" w:eastAsia="zh-CN" w:bidi="ar-SA"/>
        </w:rPr>
      </w:pPr>
      <w:r>
        <w:rPr>
          <w:rFonts w:hint="default" w:ascii="宋体" w:hAnsi="宋体" w:eastAsia="宋体" w:cs="宋体"/>
          <w:b w:val="0"/>
          <w:bCs w:val="0"/>
          <w:i w:val="0"/>
          <w:iCs w:val="0"/>
          <w:color w:val="auto"/>
          <w:sz w:val="24"/>
          <w:szCs w:val="24"/>
          <w:highlight w:val="none"/>
          <w:vertAlign w:val="baseline"/>
          <w:lang w:val="en-US" w:eastAsia="zh-CN" w:bidi="ar-SA"/>
        </w:rPr>
        <w:br w:type="page"/>
      </w:r>
    </w:p>
    <w:p w14:paraId="B8025366">
      <w:pPr>
        <w:spacing w:line="240" w:lineRule="auto"/>
        <w:jc w:val="both"/>
      </w:pPr>
      <w:r>
        <w:rPr>
          <w:rFonts w:hint="default" w:ascii="Calibri" w:hAnsi="Calibri" w:eastAsia="Arial" w:cs="Arial"/>
          <w:b/>
          <w:bCs/>
          <w:i w:val="0"/>
          <w:iCs w:val="0"/>
          <w:color w:val="auto"/>
          <w:sz w:val="28"/>
          <w:szCs w:val="28"/>
          <w:highlight w:val="none"/>
          <w:vertAlign w:val="baseline"/>
          <w:lang w:val="en-US" w:eastAsia="zh-CN" w:bidi="ar-SA"/>
        </w:rPr>
        <w:t>附件</w:t>
      </w:r>
      <w:r>
        <w:rPr>
          <w:rFonts w:hint="default" w:ascii="Calibri" w:hAnsi="Calibri" w:eastAsia="Arial" w:cs="Arial"/>
          <w:b/>
          <w:bCs/>
          <w:i w:val="0"/>
          <w:iCs w:val="0"/>
          <w:color w:val="auto"/>
          <w:sz w:val="32"/>
          <w:szCs w:val="32"/>
          <w:highlight w:val="none"/>
          <w:vertAlign w:val="baseline"/>
          <w:lang w:val="en-US" w:eastAsia="zh-CN" w:bidi="ar-SA"/>
        </w:rPr>
        <w:t>2</w:t>
      </w:r>
      <w:r>
        <w:rPr>
          <w:rFonts w:hint="default" w:ascii="宋体" w:hAnsi="宋体" w:eastAsia="Arial" w:cs="Arial"/>
          <w:b/>
          <w:bCs/>
          <w:i w:val="0"/>
          <w:iCs w:val="0"/>
          <w:color w:val="auto"/>
          <w:sz w:val="28"/>
          <w:szCs w:val="28"/>
          <w:highlight w:val="none"/>
          <w:vertAlign w:val="baseline"/>
          <w:lang w:val="en-US" w:eastAsia="zh-CN" w:bidi="ar-SA"/>
        </w:rPr>
        <w:t>“全国百佳图书出版单位”名单</w:t>
      </w:r>
    </w:p>
    <w:p w14:paraId="7722C148">
      <w:pPr>
        <w:widowControl/>
        <w:spacing w:after="150" w:line="405" w:lineRule="atLeast"/>
        <w:jc w:val="left"/>
      </w:pPr>
      <w:r>
        <w:rPr>
          <w:rFonts w:hint="default" w:ascii="宋体" w:hAnsi="宋体" w:eastAsia="Arial" w:cs="Arial"/>
          <w:b w:val="0"/>
          <w:bCs w:val="0"/>
          <w:i w:val="0"/>
          <w:iCs w:val="0"/>
          <w:color w:val="auto"/>
          <w:sz w:val="21"/>
          <w:szCs w:val="24"/>
          <w:highlight w:val="none"/>
          <w:vertAlign w:val="baseline"/>
          <w:lang w:val="en-US" w:eastAsia="zh-CN" w:bidi="ar-SA"/>
        </w:rPr>
        <w:t>1.社科类</w:t>
      </w:r>
    </w:p>
    <w:p w14:paraId="FB0D42FA">
      <w:pPr>
        <w:widowControl/>
        <w:spacing w:after="150" w:line="405" w:lineRule="atLeast"/>
        <w:jc w:val="left"/>
      </w:pPr>
      <w:r>
        <w:rPr>
          <w:rFonts w:hint="default" w:ascii="宋体" w:hAnsi="宋体" w:eastAsia="Arial" w:cs="Arial"/>
          <w:b w:val="0"/>
          <w:bCs w:val="0"/>
          <w:i w:val="0"/>
          <w:iCs w:val="0"/>
          <w:color w:val="auto"/>
          <w:sz w:val="21"/>
          <w:szCs w:val="24"/>
          <w:highlight w:val="none"/>
          <w:vertAlign w:val="baseline"/>
          <w:lang w:val="en-US" w:eastAsia="zh-CN" w:bidi="ar-SA"/>
        </w:rPr>
        <w:t>安徽人民出版社     北京出版社      长春出版社</w:t>
      </w:r>
    </w:p>
    <w:p w14:paraId="494A1843">
      <w:pPr>
        <w:widowControl/>
        <w:spacing w:after="150" w:line="405" w:lineRule="atLeast"/>
        <w:jc w:val="left"/>
      </w:pPr>
      <w:r>
        <w:rPr>
          <w:rFonts w:hint="default" w:ascii="宋体" w:hAnsi="宋体" w:eastAsia="Arial" w:cs="Arial"/>
          <w:b w:val="0"/>
          <w:bCs w:val="0"/>
          <w:i w:val="0"/>
          <w:iCs w:val="0"/>
          <w:color w:val="auto"/>
          <w:sz w:val="21"/>
          <w:szCs w:val="24"/>
          <w:highlight w:val="none"/>
          <w:vertAlign w:val="baseline"/>
          <w:lang w:val="en-US" w:eastAsia="zh-CN" w:bidi="ar-SA"/>
        </w:rPr>
        <w:t>重庆出版社        党建读物出版社     法律出版社</w:t>
      </w:r>
    </w:p>
    <w:p w14:paraId="316D3A03">
      <w:pPr>
        <w:widowControl/>
        <w:spacing w:after="150" w:line="405" w:lineRule="atLeast"/>
        <w:jc w:val="left"/>
      </w:pPr>
      <w:r>
        <w:rPr>
          <w:rFonts w:hint="default" w:ascii="宋体" w:hAnsi="宋体" w:eastAsia="Arial" w:cs="Arial"/>
          <w:b w:val="0"/>
          <w:bCs w:val="0"/>
          <w:i w:val="0"/>
          <w:iCs w:val="0"/>
          <w:color w:val="auto"/>
          <w:sz w:val="21"/>
          <w:szCs w:val="24"/>
          <w:highlight w:val="none"/>
          <w:vertAlign w:val="baseline"/>
          <w:lang w:val="en-US" w:eastAsia="zh-CN" w:bidi="ar-SA"/>
        </w:rPr>
        <w:t>湖南人民出版社     吉林出版集团有限责任公司    江苏人民出版社</w:t>
      </w:r>
    </w:p>
    <w:p w14:paraId="AB97F9CB">
      <w:pPr>
        <w:widowControl/>
        <w:spacing w:after="150" w:line="405" w:lineRule="atLeast"/>
        <w:jc w:val="left"/>
      </w:pPr>
      <w:r>
        <w:rPr>
          <w:rFonts w:hint="default" w:ascii="宋体" w:hAnsi="宋体" w:eastAsia="Arial" w:cs="Arial"/>
          <w:b w:val="0"/>
          <w:bCs w:val="0"/>
          <w:i w:val="0"/>
          <w:iCs w:val="0"/>
          <w:color w:val="auto"/>
          <w:sz w:val="21"/>
          <w:szCs w:val="24"/>
          <w:highlight w:val="none"/>
          <w:vertAlign w:val="baseline"/>
          <w:lang w:val="en-US" w:eastAsia="zh-CN" w:bidi="ar-SA"/>
        </w:rPr>
        <w:t xml:space="preserve">江西人民出版社     解放军出版社     经济科学出版社    </w:t>
      </w:r>
    </w:p>
    <w:p w14:paraId="6E41D11E">
      <w:pPr>
        <w:widowControl/>
        <w:spacing w:after="150" w:line="405" w:lineRule="atLeast"/>
        <w:jc w:val="left"/>
      </w:pPr>
      <w:r>
        <w:rPr>
          <w:rFonts w:hint="default" w:ascii="宋体" w:hAnsi="宋体" w:eastAsia="Arial" w:cs="Arial"/>
          <w:b w:val="0"/>
          <w:bCs w:val="0"/>
          <w:i w:val="0"/>
          <w:iCs w:val="0"/>
          <w:color w:val="auto"/>
          <w:sz w:val="21"/>
          <w:szCs w:val="24"/>
          <w:highlight w:val="none"/>
          <w:vertAlign w:val="baseline"/>
          <w:lang w:val="en-US" w:eastAsia="zh-CN" w:bidi="ar-SA"/>
        </w:rPr>
        <w:t>九州出版社      青岛出版社       山东人民出版社</w:t>
      </w:r>
    </w:p>
    <w:p w14:paraId="5C0DDB44">
      <w:pPr>
        <w:widowControl/>
        <w:spacing w:after="150" w:line="405" w:lineRule="atLeast"/>
        <w:jc w:val="left"/>
      </w:pPr>
      <w:r>
        <w:rPr>
          <w:rFonts w:hint="default" w:ascii="宋体" w:hAnsi="宋体" w:eastAsia="Arial" w:cs="Arial"/>
          <w:b w:val="0"/>
          <w:bCs w:val="0"/>
          <w:i w:val="0"/>
          <w:iCs w:val="0"/>
          <w:color w:val="auto"/>
          <w:sz w:val="21"/>
          <w:szCs w:val="24"/>
          <w:highlight w:val="none"/>
          <w:vertAlign w:val="baseline"/>
          <w:lang w:val="en-US" w:eastAsia="zh-CN" w:bidi="ar-SA"/>
        </w:rPr>
        <w:t>商务印书馆      上海人民出版社      生活.读书.新知三联书店</w:t>
      </w:r>
    </w:p>
    <w:p w14:paraId="D189BF0E">
      <w:pPr>
        <w:widowControl/>
        <w:spacing w:after="150" w:line="405" w:lineRule="atLeast"/>
        <w:jc w:val="left"/>
      </w:pPr>
      <w:r>
        <w:rPr>
          <w:rFonts w:hint="default" w:ascii="宋体" w:hAnsi="宋体" w:eastAsia="Arial" w:cs="Arial"/>
          <w:b w:val="0"/>
          <w:bCs w:val="0"/>
          <w:i w:val="0"/>
          <w:iCs w:val="0"/>
          <w:color w:val="auto"/>
          <w:sz w:val="21"/>
          <w:szCs w:val="24"/>
          <w:highlight w:val="none"/>
          <w:vertAlign w:val="baseline"/>
          <w:lang w:val="en-US" w:eastAsia="zh-CN" w:bidi="ar-SA"/>
        </w:rPr>
        <w:t>外文出版社      学习出版社      知识产权出版社</w:t>
      </w:r>
    </w:p>
    <w:p w14:paraId="559086EC">
      <w:pPr>
        <w:widowControl/>
        <w:spacing w:after="150" w:line="405" w:lineRule="atLeast"/>
        <w:jc w:val="left"/>
      </w:pPr>
      <w:r>
        <w:rPr>
          <w:rFonts w:hint="default" w:ascii="宋体" w:hAnsi="宋体" w:eastAsia="Arial" w:cs="Arial"/>
          <w:b w:val="0"/>
          <w:bCs w:val="0"/>
          <w:i w:val="0"/>
          <w:iCs w:val="0"/>
          <w:color w:val="auto"/>
          <w:sz w:val="21"/>
          <w:szCs w:val="24"/>
          <w:highlight w:val="none"/>
          <w:vertAlign w:val="baseline"/>
          <w:lang w:val="en-US" w:eastAsia="zh-CN" w:bidi="ar-SA"/>
        </w:rPr>
        <w:t>中国财政经济出版社      中国大百科全书出版社</w:t>
      </w:r>
    </w:p>
    <w:p w14:paraId="C6546E36">
      <w:pPr>
        <w:widowControl/>
        <w:spacing w:after="150" w:line="405" w:lineRule="atLeast"/>
        <w:jc w:val="left"/>
      </w:pPr>
      <w:r>
        <w:rPr>
          <w:rFonts w:hint="default" w:ascii="宋体" w:hAnsi="宋体" w:eastAsia="Arial" w:cs="Arial"/>
          <w:b w:val="0"/>
          <w:bCs w:val="0"/>
          <w:i w:val="0"/>
          <w:iCs w:val="0"/>
          <w:color w:val="auto"/>
          <w:sz w:val="21"/>
          <w:szCs w:val="24"/>
          <w:highlight w:val="none"/>
          <w:vertAlign w:val="baseline"/>
          <w:lang w:val="en-US" w:eastAsia="zh-CN" w:bidi="ar-SA"/>
        </w:rPr>
        <w:t>中国金融出版社      中国劳动社会保障出版社</w:t>
      </w:r>
    </w:p>
    <w:p w14:paraId="B4ABFFD4">
      <w:pPr>
        <w:widowControl/>
        <w:spacing w:after="150" w:line="405" w:lineRule="atLeast"/>
        <w:jc w:val="left"/>
      </w:pPr>
      <w:r>
        <w:rPr>
          <w:rFonts w:hint="default" w:ascii="宋体" w:hAnsi="宋体" w:eastAsia="Arial" w:cs="Arial"/>
          <w:b w:val="0"/>
          <w:bCs w:val="0"/>
          <w:i w:val="0"/>
          <w:iCs w:val="0"/>
          <w:color w:val="auto"/>
          <w:sz w:val="21"/>
          <w:szCs w:val="24"/>
          <w:highlight w:val="none"/>
          <w:vertAlign w:val="baseline"/>
          <w:lang w:val="en-US" w:eastAsia="zh-CN" w:bidi="ar-SA"/>
        </w:rPr>
        <w:t>中国民主法制出版社      中国青年出版社</w:t>
      </w:r>
    </w:p>
    <w:p w14:paraId="47E00915">
      <w:pPr>
        <w:widowControl/>
        <w:spacing w:after="150" w:line="405" w:lineRule="atLeast"/>
        <w:jc w:val="left"/>
      </w:pPr>
      <w:r>
        <w:rPr>
          <w:rFonts w:hint="default" w:ascii="宋体" w:hAnsi="宋体" w:eastAsia="Arial" w:cs="Arial"/>
          <w:b w:val="0"/>
          <w:bCs w:val="0"/>
          <w:i w:val="0"/>
          <w:iCs w:val="0"/>
          <w:color w:val="auto"/>
          <w:sz w:val="21"/>
          <w:szCs w:val="24"/>
          <w:highlight w:val="none"/>
          <w:vertAlign w:val="baseline"/>
          <w:lang w:val="en-US" w:eastAsia="zh-CN" w:bidi="ar-SA"/>
        </w:rPr>
        <w:t>中国社会出版社     中国时代经济出版社</w:t>
      </w:r>
    </w:p>
    <w:p w14:paraId="505E5E96">
      <w:pPr>
        <w:widowControl/>
        <w:spacing w:after="150" w:line="405" w:lineRule="atLeast"/>
        <w:jc w:val="left"/>
      </w:pPr>
      <w:r>
        <w:rPr>
          <w:rFonts w:hint="default" w:ascii="宋体" w:hAnsi="宋体" w:eastAsia="Arial" w:cs="Arial"/>
          <w:b w:val="0"/>
          <w:bCs w:val="0"/>
          <w:i w:val="0"/>
          <w:iCs w:val="0"/>
          <w:color w:val="auto"/>
          <w:sz w:val="21"/>
          <w:szCs w:val="24"/>
          <w:highlight w:val="none"/>
          <w:vertAlign w:val="baseline"/>
          <w:lang w:val="en-US" w:eastAsia="zh-CN" w:bidi="ar-SA"/>
        </w:rPr>
        <w:t>中信出版社      中央编译出版社</w:t>
      </w:r>
    </w:p>
    <w:p w14:paraId="F5800575">
      <w:pPr>
        <w:widowControl/>
        <w:spacing w:after="150" w:line="405" w:lineRule="atLeast"/>
        <w:jc w:val="left"/>
      </w:pPr>
      <w:r>
        <w:rPr>
          <w:rFonts w:hint="default" w:ascii="宋体" w:hAnsi="宋体" w:eastAsia="Arial" w:cs="Arial"/>
          <w:b w:val="0"/>
          <w:bCs w:val="0"/>
          <w:i w:val="0"/>
          <w:iCs w:val="0"/>
          <w:color w:val="auto"/>
          <w:sz w:val="21"/>
          <w:szCs w:val="24"/>
          <w:highlight w:val="none"/>
          <w:vertAlign w:val="baseline"/>
          <w:lang w:val="en-US" w:eastAsia="zh-CN" w:bidi="ar-SA"/>
        </w:rPr>
        <w:t>2.科技类</w:t>
      </w:r>
    </w:p>
    <w:p w14:paraId="DF15BB29">
      <w:pPr>
        <w:widowControl/>
        <w:spacing w:after="150" w:line="405" w:lineRule="atLeast"/>
        <w:jc w:val="left"/>
      </w:pPr>
      <w:r>
        <w:rPr>
          <w:rFonts w:hint="default" w:ascii="宋体" w:hAnsi="宋体" w:eastAsia="Arial" w:cs="Arial"/>
          <w:b w:val="0"/>
          <w:bCs w:val="0"/>
          <w:i w:val="0"/>
          <w:iCs w:val="0"/>
          <w:color w:val="auto"/>
          <w:sz w:val="21"/>
          <w:szCs w:val="24"/>
          <w:highlight w:val="none"/>
          <w:vertAlign w:val="baseline"/>
          <w:lang w:val="en-US" w:eastAsia="zh-CN" w:bidi="ar-SA"/>
        </w:rPr>
        <w:t>电子工业出版社      湖南科学技术出版社     化学工业出版社</w:t>
      </w:r>
    </w:p>
    <w:p w14:paraId="08E70935">
      <w:pPr>
        <w:widowControl/>
        <w:spacing w:after="150" w:line="405" w:lineRule="atLeast"/>
        <w:jc w:val="left"/>
      </w:pPr>
      <w:r>
        <w:rPr>
          <w:rFonts w:hint="default" w:ascii="宋体" w:hAnsi="宋体" w:eastAsia="Arial" w:cs="Arial"/>
          <w:b w:val="0"/>
          <w:bCs w:val="0"/>
          <w:i w:val="0"/>
          <w:iCs w:val="0"/>
          <w:color w:val="auto"/>
          <w:sz w:val="21"/>
          <w:szCs w:val="24"/>
          <w:highlight w:val="none"/>
          <w:vertAlign w:val="baseline"/>
          <w:lang w:val="en-US" w:eastAsia="zh-CN" w:bidi="ar-SA"/>
        </w:rPr>
        <w:t>机械工业出版社      江苏凤凰科学技术出版社      科学出版社</w:t>
      </w:r>
    </w:p>
    <w:p w14:paraId="A69AEFAF">
      <w:pPr>
        <w:widowControl/>
        <w:spacing w:after="150" w:line="405" w:lineRule="atLeast"/>
        <w:jc w:val="left"/>
      </w:pPr>
      <w:r>
        <w:rPr>
          <w:rFonts w:hint="default" w:ascii="宋体" w:hAnsi="宋体" w:eastAsia="Arial" w:cs="Arial"/>
          <w:b w:val="0"/>
          <w:bCs w:val="0"/>
          <w:i w:val="0"/>
          <w:iCs w:val="0"/>
          <w:color w:val="auto"/>
          <w:sz w:val="21"/>
          <w:szCs w:val="24"/>
          <w:highlight w:val="none"/>
          <w:vertAlign w:val="baseline"/>
          <w:lang w:val="en-US" w:eastAsia="zh-CN" w:bidi="ar-SA"/>
        </w:rPr>
        <w:t>人民交通出版社      人民军医出版社     人民卫生出版社</w:t>
      </w:r>
    </w:p>
    <w:p w14:paraId="D7B8EDCA">
      <w:pPr>
        <w:widowControl/>
        <w:spacing w:after="150" w:line="405" w:lineRule="atLeast"/>
        <w:jc w:val="left"/>
      </w:pPr>
      <w:r>
        <w:rPr>
          <w:rFonts w:hint="default" w:ascii="宋体" w:hAnsi="宋体" w:eastAsia="Arial" w:cs="Arial"/>
          <w:b w:val="0"/>
          <w:bCs w:val="0"/>
          <w:i w:val="0"/>
          <w:iCs w:val="0"/>
          <w:color w:val="auto"/>
          <w:sz w:val="21"/>
          <w:szCs w:val="24"/>
          <w:highlight w:val="none"/>
          <w:vertAlign w:val="baseline"/>
          <w:lang w:val="en-US" w:eastAsia="zh-CN" w:bidi="ar-SA"/>
        </w:rPr>
        <w:t>人民邮电出版社      上海科学技术出版社    星球地图出版社</w:t>
      </w:r>
    </w:p>
    <w:p w14:paraId="6C03B2B9">
      <w:pPr>
        <w:widowControl/>
        <w:spacing w:after="150" w:line="405" w:lineRule="atLeast"/>
        <w:jc w:val="left"/>
      </w:pPr>
      <w:r>
        <w:rPr>
          <w:rFonts w:hint="default" w:ascii="宋体" w:hAnsi="宋体" w:eastAsia="Arial" w:cs="Arial"/>
          <w:b w:val="0"/>
          <w:bCs w:val="0"/>
          <w:i w:val="0"/>
          <w:iCs w:val="0"/>
          <w:color w:val="auto"/>
          <w:sz w:val="21"/>
          <w:szCs w:val="24"/>
          <w:highlight w:val="none"/>
          <w:vertAlign w:val="baseline"/>
          <w:lang w:val="en-US" w:eastAsia="zh-CN" w:bidi="ar-SA"/>
        </w:rPr>
        <w:t>中国电力出版社     中国纺织出版社      中国建筑工业出版社</w:t>
      </w:r>
    </w:p>
    <w:p w14:paraId="04A235A5">
      <w:pPr>
        <w:widowControl/>
        <w:spacing w:after="150" w:line="405" w:lineRule="atLeast"/>
        <w:jc w:val="left"/>
      </w:pPr>
      <w:r>
        <w:rPr>
          <w:rFonts w:hint="default" w:ascii="宋体" w:hAnsi="宋体" w:eastAsia="Arial" w:cs="Arial"/>
          <w:b w:val="0"/>
          <w:bCs w:val="0"/>
          <w:i w:val="0"/>
          <w:iCs w:val="0"/>
          <w:color w:val="auto"/>
          <w:sz w:val="21"/>
          <w:szCs w:val="24"/>
          <w:highlight w:val="none"/>
          <w:vertAlign w:val="baseline"/>
          <w:lang w:val="en-US" w:eastAsia="zh-CN" w:bidi="ar-SA"/>
        </w:rPr>
        <w:t>中国轻工业出版社     中国人口出版社      中国中医药出版社</w:t>
      </w:r>
    </w:p>
    <w:p w14:paraId="76D29414">
      <w:pPr>
        <w:widowControl/>
        <w:spacing w:after="150" w:line="405" w:lineRule="atLeast"/>
        <w:jc w:val="left"/>
      </w:pPr>
      <w:r>
        <w:rPr>
          <w:rFonts w:hint="default" w:ascii="宋体" w:hAnsi="宋体" w:eastAsia="Arial" w:cs="Arial"/>
          <w:b w:val="0"/>
          <w:bCs w:val="0"/>
          <w:i w:val="0"/>
          <w:iCs w:val="0"/>
          <w:color w:val="auto"/>
          <w:sz w:val="21"/>
          <w:szCs w:val="24"/>
          <w:highlight w:val="none"/>
          <w:vertAlign w:val="baseline"/>
          <w:lang w:val="en-US" w:eastAsia="zh-CN" w:bidi="ar-SA"/>
        </w:rPr>
        <w:t>3.大学类</w:t>
      </w:r>
    </w:p>
    <w:p w14:paraId="086F4580">
      <w:pPr>
        <w:widowControl/>
        <w:spacing w:after="150" w:line="405" w:lineRule="atLeast"/>
        <w:jc w:val="left"/>
      </w:pPr>
      <w:r>
        <w:rPr>
          <w:rFonts w:hint="default" w:ascii="宋体" w:hAnsi="宋体" w:eastAsia="Arial" w:cs="Arial"/>
          <w:b w:val="0"/>
          <w:bCs w:val="0"/>
          <w:i w:val="0"/>
          <w:iCs w:val="0"/>
          <w:color w:val="auto"/>
          <w:sz w:val="21"/>
          <w:szCs w:val="24"/>
          <w:highlight w:val="none"/>
          <w:vertAlign w:val="baseline"/>
          <w:lang w:val="en-US" w:eastAsia="zh-CN" w:bidi="ar-SA"/>
        </w:rPr>
        <w:t>北京大学出版社     北京大学医学出版社     北京师范大学出版社</w:t>
      </w:r>
    </w:p>
    <w:p w14:paraId="72B5411D">
      <w:pPr>
        <w:widowControl/>
        <w:spacing w:after="150" w:line="405" w:lineRule="atLeast"/>
        <w:jc w:val="left"/>
      </w:pPr>
      <w:r>
        <w:rPr>
          <w:rFonts w:hint="default" w:ascii="宋体" w:hAnsi="宋体" w:eastAsia="Arial" w:cs="Arial"/>
          <w:b w:val="0"/>
          <w:bCs w:val="0"/>
          <w:i w:val="0"/>
          <w:iCs w:val="0"/>
          <w:color w:val="auto"/>
          <w:sz w:val="21"/>
          <w:szCs w:val="24"/>
          <w:highlight w:val="none"/>
          <w:vertAlign w:val="baseline"/>
          <w:lang w:val="en-US" w:eastAsia="zh-CN" w:bidi="ar-SA"/>
        </w:rPr>
        <w:t>北京语言大学出版社   重庆大学出版社      东北财经大学出版社</w:t>
      </w:r>
    </w:p>
    <w:p w14:paraId="D9C72E50">
      <w:pPr>
        <w:widowControl/>
        <w:spacing w:after="150" w:line="405" w:lineRule="atLeast"/>
        <w:jc w:val="left"/>
      </w:pPr>
      <w:r>
        <w:rPr>
          <w:rFonts w:hint="default" w:ascii="宋体" w:hAnsi="宋体" w:eastAsia="Arial" w:cs="Arial"/>
          <w:b w:val="0"/>
          <w:bCs w:val="0"/>
          <w:i w:val="0"/>
          <w:iCs w:val="0"/>
          <w:color w:val="auto"/>
          <w:sz w:val="21"/>
          <w:szCs w:val="24"/>
          <w:highlight w:val="none"/>
          <w:vertAlign w:val="baseline"/>
          <w:lang w:val="en-US" w:eastAsia="zh-CN" w:bidi="ar-SA"/>
        </w:rPr>
        <w:t>复旦大学出版社      湖南师范大学出版社     华东师范大学出版社</w:t>
      </w:r>
    </w:p>
    <w:p w14:paraId="2844A250">
      <w:pPr>
        <w:widowControl/>
        <w:spacing w:after="150" w:line="405" w:lineRule="atLeast"/>
        <w:jc w:val="left"/>
      </w:pPr>
      <w:r>
        <w:rPr>
          <w:rFonts w:hint="default" w:ascii="宋体" w:hAnsi="宋体" w:eastAsia="Arial" w:cs="Arial"/>
          <w:b w:val="0"/>
          <w:bCs w:val="0"/>
          <w:i w:val="0"/>
          <w:iCs w:val="0"/>
          <w:color w:val="auto"/>
          <w:sz w:val="21"/>
          <w:szCs w:val="24"/>
          <w:highlight w:val="none"/>
          <w:vertAlign w:val="baseline"/>
          <w:lang w:val="en-US" w:eastAsia="zh-CN" w:bidi="ar-SA"/>
        </w:rPr>
        <w:t>清华大学出版社     上海外语教育出版社   外语教学与研究出版社</w:t>
      </w:r>
    </w:p>
    <w:p w14:paraId="2AC7C7CC">
      <w:pPr>
        <w:widowControl/>
        <w:spacing w:after="150" w:line="405" w:lineRule="atLeast"/>
        <w:jc w:val="left"/>
      </w:pPr>
      <w:r>
        <w:rPr>
          <w:rFonts w:hint="default" w:ascii="宋体" w:hAnsi="宋体" w:eastAsia="Arial" w:cs="Arial"/>
          <w:b w:val="0"/>
          <w:bCs w:val="0"/>
          <w:i w:val="0"/>
          <w:iCs w:val="0"/>
          <w:color w:val="auto"/>
          <w:sz w:val="21"/>
          <w:szCs w:val="24"/>
          <w:highlight w:val="none"/>
          <w:vertAlign w:val="baseline"/>
          <w:lang w:val="en-US" w:eastAsia="zh-CN" w:bidi="ar-SA"/>
        </w:rPr>
        <w:t>西安交通大学出版社    西南师范大学出版社    厦门大学出版社</w:t>
      </w:r>
    </w:p>
    <w:p w14:paraId="8CA4EA41">
      <w:pPr>
        <w:widowControl/>
        <w:spacing w:after="150" w:line="405" w:lineRule="atLeast"/>
        <w:jc w:val="left"/>
      </w:pPr>
      <w:r>
        <w:rPr>
          <w:rFonts w:hint="default" w:ascii="宋体" w:hAnsi="宋体" w:eastAsia="Arial" w:cs="Arial"/>
          <w:b w:val="0"/>
          <w:bCs w:val="0"/>
          <w:i w:val="0"/>
          <w:iCs w:val="0"/>
          <w:color w:val="auto"/>
          <w:sz w:val="21"/>
          <w:szCs w:val="24"/>
          <w:highlight w:val="none"/>
          <w:vertAlign w:val="baseline"/>
          <w:lang w:val="en-US" w:eastAsia="zh-CN" w:bidi="ar-SA"/>
        </w:rPr>
        <w:t>浙江大学出版社      中国矿业大学出版社   中国人民大学出版社</w:t>
      </w:r>
    </w:p>
    <w:p w14:paraId="C2ED8839">
      <w:pPr>
        <w:widowControl/>
        <w:spacing w:after="150" w:line="405" w:lineRule="atLeast"/>
        <w:jc w:val="left"/>
      </w:pPr>
      <w:r>
        <w:rPr>
          <w:rFonts w:hint="default" w:ascii="宋体" w:hAnsi="宋体" w:eastAsia="Arial" w:cs="Arial"/>
          <w:b w:val="0"/>
          <w:bCs w:val="0"/>
          <w:i w:val="0"/>
          <w:iCs w:val="0"/>
          <w:color w:val="auto"/>
          <w:sz w:val="21"/>
          <w:szCs w:val="24"/>
          <w:highlight w:val="none"/>
          <w:vertAlign w:val="baseline"/>
          <w:lang w:val="en-US" w:eastAsia="zh-CN" w:bidi="ar-SA"/>
        </w:rPr>
        <w:t>中国人民公安大学出版社     中国政法大学出版社</w:t>
      </w:r>
    </w:p>
    <w:p w14:paraId="586CDC57">
      <w:pPr>
        <w:widowControl/>
        <w:spacing w:after="150" w:line="405" w:lineRule="atLeast"/>
        <w:jc w:val="left"/>
      </w:pPr>
      <w:r>
        <w:rPr>
          <w:rFonts w:hint="default" w:ascii="宋体" w:hAnsi="宋体" w:eastAsia="Arial" w:cs="Arial"/>
          <w:b w:val="0"/>
          <w:bCs w:val="0"/>
          <w:i w:val="0"/>
          <w:iCs w:val="0"/>
          <w:color w:val="auto"/>
          <w:sz w:val="21"/>
          <w:szCs w:val="24"/>
          <w:highlight w:val="none"/>
          <w:vertAlign w:val="baseline"/>
          <w:lang w:val="en-US" w:eastAsia="zh-CN" w:bidi="ar-SA"/>
        </w:rPr>
        <w:t>4.教育类</w:t>
      </w:r>
    </w:p>
    <w:p w14:paraId="464A60E7">
      <w:pPr>
        <w:widowControl/>
        <w:spacing w:after="150" w:line="405" w:lineRule="atLeast"/>
        <w:jc w:val="left"/>
      </w:pPr>
      <w:r>
        <w:rPr>
          <w:rFonts w:hint="default" w:ascii="宋体" w:hAnsi="宋体" w:eastAsia="Arial" w:cs="Arial"/>
          <w:b w:val="0"/>
          <w:bCs w:val="0"/>
          <w:i w:val="0"/>
          <w:iCs w:val="0"/>
          <w:color w:val="auto"/>
          <w:sz w:val="21"/>
          <w:szCs w:val="24"/>
          <w:highlight w:val="none"/>
          <w:vertAlign w:val="baseline"/>
          <w:lang w:val="en-US" w:eastAsia="zh-CN" w:bidi="ar-SA"/>
        </w:rPr>
        <w:t>高等教育出版社      广东教育出版社     江苏教育出版社</w:t>
      </w:r>
    </w:p>
    <w:p w14:paraId="C917CA3C">
      <w:pPr>
        <w:widowControl/>
        <w:spacing w:after="150" w:line="405" w:lineRule="atLeast"/>
        <w:jc w:val="left"/>
      </w:pPr>
      <w:r>
        <w:rPr>
          <w:rFonts w:hint="default" w:ascii="宋体" w:hAnsi="宋体" w:eastAsia="Arial" w:cs="Arial"/>
          <w:b w:val="0"/>
          <w:bCs w:val="0"/>
          <w:i w:val="0"/>
          <w:iCs w:val="0"/>
          <w:color w:val="auto"/>
          <w:sz w:val="21"/>
          <w:szCs w:val="24"/>
          <w:highlight w:val="none"/>
          <w:vertAlign w:val="baseline"/>
          <w:lang w:val="en-US" w:eastAsia="zh-CN" w:bidi="ar-SA"/>
        </w:rPr>
        <w:t>教育科学出版社      人民教育出版社      浙江教育出版社</w:t>
      </w:r>
    </w:p>
    <w:p w14:paraId="3AE1C5BA">
      <w:pPr>
        <w:widowControl/>
        <w:spacing w:after="150" w:line="405" w:lineRule="atLeast"/>
        <w:jc w:val="left"/>
      </w:pPr>
      <w:r>
        <w:rPr>
          <w:rFonts w:hint="default" w:ascii="宋体" w:hAnsi="宋体" w:eastAsia="Arial" w:cs="Arial"/>
          <w:b w:val="0"/>
          <w:bCs w:val="0"/>
          <w:i w:val="0"/>
          <w:iCs w:val="0"/>
          <w:color w:val="auto"/>
          <w:sz w:val="21"/>
          <w:szCs w:val="24"/>
          <w:highlight w:val="none"/>
          <w:vertAlign w:val="baseline"/>
          <w:lang w:val="en-US" w:eastAsia="zh-CN" w:bidi="ar-SA"/>
        </w:rPr>
        <w:t>5.古籍类</w:t>
      </w:r>
    </w:p>
    <w:p w14:paraId="57D1F488">
      <w:pPr>
        <w:widowControl/>
        <w:spacing w:after="150" w:line="405" w:lineRule="atLeast"/>
        <w:jc w:val="left"/>
      </w:pPr>
      <w:r>
        <w:rPr>
          <w:rFonts w:hint="default" w:ascii="宋体" w:hAnsi="宋体" w:eastAsia="Arial" w:cs="Arial"/>
          <w:b w:val="0"/>
          <w:bCs w:val="0"/>
          <w:i w:val="0"/>
          <w:iCs w:val="0"/>
          <w:color w:val="auto"/>
          <w:sz w:val="21"/>
          <w:szCs w:val="24"/>
          <w:highlight w:val="none"/>
          <w:vertAlign w:val="baseline"/>
          <w:lang w:val="en-US" w:eastAsia="zh-CN" w:bidi="ar-SA"/>
        </w:rPr>
        <w:t>国家图书馆出版社     黄山书社     岳麓书社     中华书局</w:t>
      </w:r>
    </w:p>
    <w:p w14:paraId="8C4F2689">
      <w:pPr>
        <w:widowControl/>
        <w:spacing w:after="150" w:line="405" w:lineRule="atLeast"/>
        <w:jc w:val="left"/>
      </w:pPr>
      <w:r>
        <w:rPr>
          <w:rFonts w:hint="default" w:ascii="宋体" w:hAnsi="宋体" w:eastAsia="Arial" w:cs="Arial"/>
          <w:b w:val="0"/>
          <w:bCs w:val="0"/>
          <w:i w:val="0"/>
          <w:iCs w:val="0"/>
          <w:color w:val="auto"/>
          <w:sz w:val="21"/>
          <w:szCs w:val="24"/>
          <w:highlight w:val="none"/>
          <w:vertAlign w:val="baseline"/>
          <w:lang w:val="en-US" w:eastAsia="zh-CN" w:bidi="ar-SA"/>
        </w:rPr>
        <w:t>6.少儿类</w:t>
      </w:r>
    </w:p>
    <w:p w14:paraId="97FC607B">
      <w:pPr>
        <w:widowControl/>
        <w:spacing w:after="150" w:line="405" w:lineRule="atLeast"/>
        <w:jc w:val="left"/>
      </w:pPr>
      <w:r>
        <w:rPr>
          <w:rFonts w:hint="default" w:ascii="宋体" w:hAnsi="宋体" w:eastAsia="Arial" w:cs="Arial"/>
          <w:b w:val="0"/>
          <w:bCs w:val="0"/>
          <w:i w:val="0"/>
          <w:iCs w:val="0"/>
          <w:color w:val="auto"/>
          <w:sz w:val="21"/>
          <w:szCs w:val="24"/>
          <w:highlight w:val="none"/>
          <w:vertAlign w:val="baseline"/>
          <w:lang w:val="en-US" w:eastAsia="zh-CN" w:bidi="ar-SA"/>
        </w:rPr>
        <w:t>安徽少年儿童出版社    二十一世纪出版社   江苏少年儿童出版社</w:t>
      </w:r>
    </w:p>
    <w:p w14:paraId="3A666626">
      <w:pPr>
        <w:widowControl/>
        <w:spacing w:after="150" w:line="405" w:lineRule="atLeast"/>
        <w:jc w:val="left"/>
      </w:pPr>
      <w:r>
        <w:rPr>
          <w:rFonts w:hint="default" w:ascii="宋体" w:hAnsi="宋体" w:eastAsia="Arial" w:cs="Arial"/>
          <w:b w:val="0"/>
          <w:bCs w:val="0"/>
          <w:i w:val="0"/>
          <w:iCs w:val="0"/>
          <w:color w:val="auto"/>
          <w:sz w:val="21"/>
          <w:szCs w:val="24"/>
          <w:highlight w:val="none"/>
          <w:vertAlign w:val="baseline"/>
          <w:lang w:val="en-US" w:eastAsia="zh-CN" w:bidi="ar-SA"/>
        </w:rPr>
        <w:t>接力出版社      明天出版社         浙江少年儿童出版社</w:t>
      </w:r>
    </w:p>
    <w:p w14:paraId="22BFA240">
      <w:pPr>
        <w:widowControl/>
        <w:spacing w:after="150" w:line="405" w:lineRule="atLeast"/>
        <w:jc w:val="left"/>
      </w:pPr>
      <w:r>
        <w:rPr>
          <w:rFonts w:hint="default" w:ascii="宋体" w:hAnsi="宋体" w:eastAsia="Arial" w:cs="Arial"/>
          <w:b w:val="0"/>
          <w:bCs w:val="0"/>
          <w:i w:val="0"/>
          <w:iCs w:val="0"/>
          <w:color w:val="auto"/>
          <w:sz w:val="21"/>
          <w:szCs w:val="24"/>
          <w:highlight w:val="none"/>
          <w:vertAlign w:val="baseline"/>
          <w:lang w:val="en-US" w:eastAsia="zh-CN" w:bidi="ar-SA"/>
        </w:rPr>
        <w:t>7.美术类</w:t>
      </w:r>
    </w:p>
    <w:p w14:paraId="3A294903">
      <w:pPr>
        <w:widowControl/>
        <w:spacing w:after="150" w:line="405" w:lineRule="atLeast"/>
        <w:jc w:val="left"/>
      </w:pPr>
      <w:r>
        <w:rPr>
          <w:rFonts w:hint="default" w:ascii="宋体" w:hAnsi="宋体" w:eastAsia="Arial" w:cs="Arial"/>
          <w:b w:val="0"/>
          <w:bCs w:val="0"/>
          <w:i w:val="0"/>
          <w:iCs w:val="0"/>
          <w:color w:val="auto"/>
          <w:sz w:val="21"/>
          <w:szCs w:val="24"/>
          <w:highlight w:val="none"/>
          <w:vertAlign w:val="baseline"/>
          <w:lang w:val="en-US" w:eastAsia="zh-CN" w:bidi="ar-SA"/>
        </w:rPr>
        <w:t>安徽美术出版社     湖南美术出版社      吉林美术出版社</w:t>
      </w:r>
    </w:p>
    <w:p w14:paraId="A19EB750">
      <w:pPr>
        <w:widowControl/>
        <w:spacing w:after="150" w:line="405" w:lineRule="atLeast"/>
        <w:jc w:val="left"/>
      </w:pPr>
      <w:r>
        <w:rPr>
          <w:rFonts w:hint="default" w:ascii="宋体" w:hAnsi="宋体" w:eastAsia="Arial" w:cs="Arial"/>
          <w:b w:val="0"/>
          <w:bCs w:val="0"/>
          <w:i w:val="0"/>
          <w:iCs w:val="0"/>
          <w:color w:val="auto"/>
          <w:sz w:val="21"/>
          <w:szCs w:val="24"/>
          <w:highlight w:val="none"/>
          <w:vertAlign w:val="baseline"/>
          <w:lang w:val="en-US" w:eastAsia="zh-CN" w:bidi="ar-SA"/>
        </w:rPr>
        <w:t>江苏凤凰美术出版社    江西美术出版社    浙江人民美术出版社</w:t>
      </w:r>
    </w:p>
    <w:p w14:paraId="0F44EA61">
      <w:pPr>
        <w:widowControl/>
        <w:spacing w:after="150" w:line="405" w:lineRule="atLeast"/>
        <w:jc w:val="left"/>
      </w:pPr>
      <w:r>
        <w:rPr>
          <w:rFonts w:hint="default" w:ascii="宋体" w:hAnsi="宋体" w:eastAsia="Arial" w:cs="Arial"/>
          <w:b w:val="0"/>
          <w:bCs w:val="0"/>
          <w:i w:val="0"/>
          <w:iCs w:val="0"/>
          <w:color w:val="auto"/>
          <w:sz w:val="21"/>
          <w:szCs w:val="24"/>
          <w:highlight w:val="none"/>
          <w:vertAlign w:val="baseline"/>
          <w:lang w:val="en-US" w:eastAsia="zh-CN" w:bidi="ar-SA"/>
        </w:rPr>
        <w:t>8.文艺类</w:t>
      </w:r>
    </w:p>
    <w:p w14:paraId="EB7082D0">
      <w:pPr>
        <w:widowControl/>
        <w:spacing w:after="150" w:line="405" w:lineRule="atLeast"/>
        <w:jc w:val="left"/>
      </w:pPr>
      <w:r>
        <w:rPr>
          <w:rFonts w:hint="default" w:ascii="宋体" w:hAnsi="宋体" w:eastAsia="Arial" w:cs="Arial"/>
          <w:b w:val="0"/>
          <w:bCs w:val="0"/>
          <w:i w:val="0"/>
          <w:iCs w:val="0"/>
          <w:color w:val="auto"/>
          <w:sz w:val="21"/>
          <w:szCs w:val="24"/>
          <w:highlight w:val="none"/>
          <w:vertAlign w:val="baseline"/>
          <w:lang w:val="en-US" w:eastAsia="zh-CN" w:bidi="ar-SA"/>
        </w:rPr>
        <w:t>长江文艺出版社    湖南文艺出版社     人民文学出版社</w:t>
      </w:r>
    </w:p>
    <w:p w14:paraId="03E3C5EB">
      <w:pPr>
        <w:widowControl/>
        <w:spacing w:after="150" w:line="405" w:lineRule="atLeast"/>
        <w:jc w:val="left"/>
      </w:pPr>
      <w:r>
        <w:rPr>
          <w:rFonts w:hint="default" w:ascii="宋体" w:hAnsi="宋体" w:eastAsia="Arial" w:cs="Arial"/>
          <w:b w:val="0"/>
          <w:bCs w:val="0"/>
          <w:i w:val="0"/>
          <w:iCs w:val="0"/>
          <w:color w:val="auto"/>
          <w:sz w:val="21"/>
          <w:szCs w:val="24"/>
          <w:highlight w:val="none"/>
          <w:vertAlign w:val="baseline"/>
          <w:lang w:val="en-US" w:eastAsia="zh-CN" w:bidi="ar-SA"/>
        </w:rPr>
        <w:t>人民音乐出版社    上海文艺出版社   上海译文出版社</w:t>
      </w:r>
    </w:p>
    <w:p w14:paraId="67BD495A">
      <w:pPr>
        <w:widowControl/>
        <w:spacing w:after="150" w:line="405" w:lineRule="atLeast"/>
        <w:jc w:val="left"/>
      </w:pPr>
      <w:r>
        <w:rPr>
          <w:rFonts w:hint="default" w:ascii="宋体" w:hAnsi="宋体" w:eastAsia="Arial" w:cs="Arial"/>
          <w:b w:val="0"/>
          <w:bCs w:val="0"/>
          <w:i w:val="0"/>
          <w:iCs w:val="0"/>
          <w:color w:val="auto"/>
          <w:sz w:val="21"/>
          <w:szCs w:val="24"/>
          <w:highlight w:val="none"/>
          <w:vertAlign w:val="baseline"/>
          <w:lang w:val="en-US" w:eastAsia="zh-CN" w:bidi="ar-SA"/>
        </w:rPr>
        <w:t>译林出版社     浙江摄影出版社      作家出版社</w:t>
      </w:r>
    </w:p>
    <w:p w14:paraId="19C8F6A4">
      <w:pPr>
        <w:rPr>
          <w:rFonts w:hint="eastAsia"/>
          <w:b/>
          <w:bCs/>
          <w:sz w:val="30"/>
          <w:szCs w:val="30"/>
          <w:lang w:eastAsia="zh-CN"/>
        </w:rPr>
      </w:pPr>
    </w:p>
    <w:p w14:paraId="7ADDAF3F">
      <w:pPr>
        <w:rPr>
          <w:rFonts w:hint="eastAsia"/>
          <w:b/>
          <w:bCs/>
          <w:sz w:val="30"/>
          <w:szCs w:val="30"/>
          <w:lang w:eastAsia="zh-CN"/>
        </w:rPr>
      </w:pPr>
    </w:p>
    <w:p w14:paraId="7C83BDE9">
      <w:pPr>
        <w:rPr>
          <w:rFonts w:hint="eastAsia"/>
          <w:b/>
          <w:bCs/>
          <w:sz w:val="30"/>
          <w:szCs w:val="30"/>
          <w:lang w:eastAsia="zh-CN"/>
        </w:rPr>
      </w:pPr>
    </w:p>
    <w:p w14:paraId="3B110542">
      <w:pPr>
        <w:rPr>
          <w:rFonts w:hint="eastAsia"/>
          <w:b/>
          <w:bCs/>
          <w:sz w:val="30"/>
          <w:szCs w:val="30"/>
          <w:lang w:eastAsia="zh-CN"/>
        </w:rPr>
      </w:pPr>
    </w:p>
    <w:p w14:paraId="4F017EB7">
      <w:pPr>
        <w:rPr>
          <w:rFonts w:hint="eastAsia"/>
          <w:b/>
          <w:bCs/>
          <w:sz w:val="30"/>
          <w:szCs w:val="30"/>
          <w:lang w:eastAsia="zh-CN"/>
        </w:rPr>
      </w:pPr>
    </w:p>
    <w:p w14:paraId="A937B5C3">
      <w:pPr>
        <w:rPr>
          <w:rFonts w:hint="eastAsia"/>
          <w:b/>
          <w:bCs/>
          <w:sz w:val="30"/>
          <w:szCs w:val="30"/>
          <w:lang w:val="en-US" w:eastAsia="zh-CN"/>
        </w:rPr>
      </w:pPr>
      <w:r>
        <w:rPr>
          <w:rFonts w:hint="eastAsia"/>
          <w:b/>
          <w:bCs/>
          <w:sz w:val="30"/>
          <w:szCs w:val="30"/>
          <w:lang w:eastAsia="zh-CN"/>
        </w:rPr>
        <w:t>附件</w:t>
      </w:r>
      <w:r>
        <w:rPr>
          <w:rFonts w:hint="eastAsia"/>
          <w:b/>
          <w:bCs/>
          <w:sz w:val="30"/>
          <w:szCs w:val="30"/>
          <w:lang w:val="en-US" w:eastAsia="zh-CN"/>
        </w:rPr>
        <w:t>3：编目数据保障</w:t>
      </w:r>
    </w:p>
    <w:p w14:paraId="0D3DB8FA">
      <w:pPr>
        <w:spacing w:line="480" w:lineRule="auto"/>
        <w:ind w:firstLine="562"/>
        <w:rPr>
          <w:rFonts w:hint="eastAsia" w:ascii="宋体" w:hAnsi="宋体" w:eastAsia="宋体" w:cs="宋体"/>
          <w:b/>
          <w:bCs/>
          <w:color w:val="000000"/>
          <w:sz w:val="28"/>
          <w:szCs w:val="28"/>
        </w:rPr>
      </w:pPr>
      <w:r>
        <w:rPr>
          <w:rFonts w:hint="eastAsia" w:ascii="宋体" w:hAnsi="宋体" w:cs="宋体"/>
          <w:b/>
          <w:bCs/>
          <w:color w:val="000000"/>
          <w:sz w:val="28"/>
          <w:szCs w:val="28"/>
          <w:lang w:val="en-US" w:eastAsia="zh-CN"/>
        </w:rPr>
        <w:t>3.1、</w:t>
      </w:r>
      <w:r>
        <w:rPr>
          <w:rFonts w:hint="eastAsia" w:ascii="宋体" w:hAnsi="宋体" w:eastAsia="宋体" w:cs="宋体"/>
          <w:b/>
          <w:bCs/>
          <w:color w:val="000000"/>
          <w:sz w:val="28"/>
          <w:szCs w:val="28"/>
        </w:rPr>
        <w:t>多卷书</w:t>
      </w:r>
    </w:p>
    <w:p w14:paraId="5E42CB26">
      <w:pPr>
        <w:spacing w:line="480" w:lineRule="auto"/>
        <w:rPr>
          <w:rFonts w:hint="eastAsia" w:ascii="宋体" w:hAnsi="宋体" w:eastAsia="宋体" w:cs="宋体"/>
          <w:color w:val="000000"/>
          <w:sz w:val="24"/>
          <w:lang w:eastAsia="zh-CN"/>
        </w:rPr>
      </w:pPr>
      <w:r>
        <w:rPr>
          <w:rFonts w:hint="eastAsia" w:ascii="宋体" w:hAnsi="宋体" w:eastAsia="宋体" w:cs="宋体"/>
          <w:color w:val="000000"/>
          <w:sz w:val="24"/>
          <w:lang w:eastAsia="zh-CN"/>
        </w:rPr>
        <w:drawing>
          <wp:inline distT="0" distB="0" distL="114300" distR="114300">
            <wp:extent cx="5266690" cy="7670165"/>
            <wp:effectExtent l="0" t="0" r="10160" b="6985"/>
            <wp:docPr id="9" name="图片 1" descr="d81cf7fabc0be2e2b5c970d1f0ee3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descr="d81cf7fabc0be2e2b5c970d1f0ee3fd"/>
                    <pic:cNvPicPr>
                      <a:picLocks noChangeAspect="1"/>
                    </pic:cNvPicPr>
                  </pic:nvPicPr>
                  <pic:blipFill>
                    <a:blip r:embed="rId4"/>
                    <a:stretch>
                      <a:fillRect/>
                    </a:stretch>
                  </pic:blipFill>
                  <pic:spPr>
                    <a:xfrm>
                      <a:off x="0" y="0"/>
                      <a:ext cx="5266690" cy="7670165"/>
                    </a:xfrm>
                    <a:prstGeom prst="rect">
                      <a:avLst/>
                    </a:prstGeom>
                    <a:noFill/>
                    <a:ln>
                      <a:noFill/>
                    </a:ln>
                  </pic:spPr>
                </pic:pic>
              </a:graphicData>
            </a:graphic>
          </wp:inline>
        </w:drawing>
      </w:r>
      <w:r>
        <w:rPr>
          <w:rFonts w:hint="eastAsia" w:ascii="宋体" w:hAnsi="宋体" w:eastAsia="宋体" w:cs="宋体"/>
          <w:color w:val="000000"/>
          <w:sz w:val="24"/>
          <w:lang w:eastAsia="zh-CN"/>
        </w:rPr>
        <w:drawing>
          <wp:inline distT="0" distB="0" distL="114300" distR="114300">
            <wp:extent cx="5266690" cy="8526145"/>
            <wp:effectExtent l="0" t="0" r="10160" b="8255"/>
            <wp:docPr id="2" name="图片 2" descr="652815f42fbddfc9220c01862f500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652815f42fbddfc9220c01862f50068"/>
                    <pic:cNvPicPr>
                      <a:picLocks noChangeAspect="1"/>
                    </pic:cNvPicPr>
                  </pic:nvPicPr>
                  <pic:blipFill>
                    <a:blip r:embed="rId5"/>
                    <a:stretch>
                      <a:fillRect/>
                    </a:stretch>
                  </pic:blipFill>
                  <pic:spPr>
                    <a:xfrm>
                      <a:off x="0" y="0"/>
                      <a:ext cx="5266690" cy="8526145"/>
                    </a:xfrm>
                    <a:prstGeom prst="rect">
                      <a:avLst/>
                    </a:prstGeom>
                    <a:noFill/>
                    <a:ln>
                      <a:noFill/>
                    </a:ln>
                  </pic:spPr>
                </pic:pic>
              </a:graphicData>
            </a:graphic>
          </wp:inline>
        </w:drawing>
      </w:r>
    </w:p>
    <w:p w14:paraId="278B99CC">
      <w:pPr>
        <w:pStyle w:val="22"/>
        <w:spacing w:line="480" w:lineRule="auto"/>
        <w:ind w:left="0"/>
        <w:rPr>
          <w:rFonts w:hint="eastAsia" w:ascii="宋体" w:hAnsi="宋体" w:eastAsia="宋体" w:cs="宋体"/>
          <w:color w:val="000000"/>
          <w:sz w:val="24"/>
        </w:rPr>
      </w:pPr>
      <w:r>
        <w:rPr>
          <w:rFonts w:hint="eastAsia" w:ascii="宋体" w:hAnsi="宋体" w:cs="宋体"/>
          <w:b/>
          <w:bCs/>
          <w:color w:val="000000"/>
          <w:sz w:val="28"/>
          <w:szCs w:val="28"/>
          <w:lang w:val="en-US" w:eastAsia="zh-CN"/>
        </w:rPr>
        <w:t>3.2、</w:t>
      </w:r>
      <w:r>
        <w:rPr>
          <w:rFonts w:hint="eastAsia" w:ascii="宋体" w:hAnsi="宋体" w:eastAsia="宋体" w:cs="宋体"/>
          <w:b/>
          <w:bCs/>
          <w:color w:val="000000"/>
          <w:sz w:val="28"/>
          <w:szCs w:val="28"/>
        </w:rPr>
        <w:t>自科带光盘</w:t>
      </w:r>
    </w:p>
    <w:p w14:paraId="352C9B80">
      <w:pPr>
        <w:spacing w:after="120" w:line="480" w:lineRule="auto"/>
        <w:jc w:val="both"/>
        <w:rPr>
          <w:rFonts w:hint="eastAsia" w:ascii="宋体" w:hAnsi="宋体" w:eastAsia="宋体" w:cs="宋体"/>
          <w:color w:val="000000"/>
          <w:sz w:val="24"/>
          <w:lang w:eastAsia="zh-CN"/>
        </w:rPr>
      </w:pPr>
      <w:r>
        <w:rPr>
          <w:rFonts w:hint="eastAsia" w:ascii="宋体" w:hAnsi="宋体" w:eastAsia="宋体" w:cs="宋体"/>
          <w:color w:val="000000"/>
          <w:sz w:val="24"/>
          <w:lang w:eastAsia="zh-CN"/>
        </w:rPr>
        <w:drawing>
          <wp:inline distT="0" distB="0" distL="114300" distR="114300">
            <wp:extent cx="7254240" cy="5043805"/>
            <wp:effectExtent l="0" t="0" r="4445" b="3810"/>
            <wp:docPr id="6" name="图片 3" descr="fabe2439feb282f1826ce9710702c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fabe2439feb282f1826ce9710702c81"/>
                    <pic:cNvPicPr>
                      <a:picLocks noChangeAspect="1"/>
                    </pic:cNvPicPr>
                  </pic:nvPicPr>
                  <pic:blipFill>
                    <a:blip r:embed="rId6"/>
                    <a:stretch>
                      <a:fillRect/>
                    </a:stretch>
                  </pic:blipFill>
                  <pic:spPr>
                    <a:xfrm rot="5400000">
                      <a:off x="0" y="0"/>
                      <a:ext cx="7254240" cy="5043805"/>
                    </a:xfrm>
                    <a:prstGeom prst="rect">
                      <a:avLst/>
                    </a:prstGeom>
                    <a:noFill/>
                    <a:ln>
                      <a:noFill/>
                    </a:ln>
                  </pic:spPr>
                </pic:pic>
              </a:graphicData>
            </a:graphic>
          </wp:inline>
        </w:drawing>
      </w:r>
    </w:p>
    <w:p w14:paraId="5F8D4923">
      <w:pPr>
        <w:spacing w:line="480" w:lineRule="auto"/>
        <w:rPr>
          <w:rFonts w:hint="eastAsia" w:ascii="宋体" w:hAnsi="宋体" w:eastAsia="宋体" w:cs="宋体"/>
          <w:color w:val="000000"/>
          <w:sz w:val="24"/>
        </w:rPr>
      </w:pPr>
      <w:r>
        <w:rPr>
          <w:rFonts w:hint="eastAsia" w:ascii="宋体" w:hAnsi="宋体" w:eastAsia="宋体" w:cs="宋体"/>
          <w:color w:val="000000"/>
          <w:sz w:val="24"/>
        </w:rPr>
        <w:br w:type="page"/>
      </w:r>
    </w:p>
    <w:p w14:paraId="4945D456">
      <w:pPr>
        <w:spacing w:after="120" w:line="480" w:lineRule="auto"/>
        <w:rPr>
          <w:rFonts w:hint="eastAsia" w:ascii="宋体" w:hAnsi="宋体" w:eastAsia="宋体" w:cs="宋体"/>
          <w:color w:val="000000"/>
          <w:sz w:val="24"/>
        </w:rPr>
      </w:pPr>
    </w:p>
    <w:p w14:paraId="320C4F61">
      <w:pPr>
        <w:spacing w:after="120" w:line="480" w:lineRule="auto"/>
        <w:jc w:val="both"/>
        <w:rPr>
          <w:rFonts w:hint="eastAsia" w:ascii="宋体" w:hAnsi="宋体" w:eastAsia="宋体" w:cs="宋体"/>
          <w:color w:val="000000"/>
          <w:sz w:val="24"/>
          <w:lang w:eastAsia="zh-CN"/>
        </w:rPr>
      </w:pPr>
      <w:r>
        <w:rPr>
          <w:rFonts w:hint="eastAsia" w:ascii="宋体" w:hAnsi="宋体" w:eastAsia="宋体" w:cs="宋体"/>
          <w:color w:val="000000"/>
          <w:sz w:val="24"/>
          <w:lang w:eastAsia="zh-CN"/>
        </w:rPr>
        <w:drawing>
          <wp:inline distT="0" distB="0" distL="114300" distR="114300">
            <wp:extent cx="5262880" cy="7735570"/>
            <wp:effectExtent l="0" t="0" r="13970" b="17780"/>
            <wp:docPr id="3" name="图片 4" descr="b8bf538fb2d01491031177d20567c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b8bf538fb2d01491031177d20567ce4"/>
                    <pic:cNvPicPr>
                      <a:picLocks noChangeAspect="1"/>
                    </pic:cNvPicPr>
                  </pic:nvPicPr>
                  <pic:blipFill>
                    <a:blip r:embed="rId7"/>
                    <a:stretch>
                      <a:fillRect/>
                    </a:stretch>
                  </pic:blipFill>
                  <pic:spPr>
                    <a:xfrm>
                      <a:off x="0" y="0"/>
                      <a:ext cx="5262880" cy="7735570"/>
                    </a:xfrm>
                    <a:prstGeom prst="rect">
                      <a:avLst/>
                    </a:prstGeom>
                    <a:noFill/>
                    <a:ln>
                      <a:noFill/>
                    </a:ln>
                  </pic:spPr>
                </pic:pic>
              </a:graphicData>
            </a:graphic>
          </wp:inline>
        </w:drawing>
      </w:r>
    </w:p>
    <w:p w14:paraId="30EEF0E3">
      <w:pPr>
        <w:spacing w:line="480" w:lineRule="auto"/>
        <w:rPr>
          <w:rFonts w:hint="eastAsia" w:ascii="宋体" w:hAnsi="宋体" w:eastAsia="宋体" w:cs="宋体"/>
          <w:b/>
          <w:bCs/>
          <w:color w:val="000000"/>
          <w:sz w:val="24"/>
        </w:rPr>
      </w:pPr>
      <w:r>
        <w:rPr>
          <w:rFonts w:hint="eastAsia" w:ascii="宋体" w:hAnsi="宋体" w:eastAsia="宋体" w:cs="宋体"/>
          <w:b/>
          <w:bCs/>
          <w:color w:val="000000"/>
          <w:sz w:val="24"/>
        </w:rPr>
        <w:br w:type="page"/>
      </w:r>
    </w:p>
    <w:p w14:paraId="2ED5758D">
      <w:pPr>
        <w:spacing w:after="120" w:line="480" w:lineRule="auto"/>
        <w:jc w:val="left"/>
        <w:rPr>
          <w:rFonts w:hint="eastAsia" w:ascii="宋体" w:hAnsi="宋体" w:eastAsia="宋体" w:cs="宋体"/>
          <w:b/>
          <w:bCs/>
          <w:color w:val="000000"/>
          <w:sz w:val="24"/>
          <w:lang w:eastAsia="zh-CN"/>
        </w:rPr>
      </w:pPr>
      <w:r>
        <w:rPr>
          <w:rFonts w:hint="eastAsia" w:ascii="宋体" w:hAnsi="宋体" w:eastAsia="宋体" w:cs="宋体"/>
          <w:b/>
          <w:bCs/>
          <w:color w:val="000000"/>
          <w:sz w:val="24"/>
          <w:lang w:eastAsia="zh-CN"/>
        </w:rPr>
        <w:drawing>
          <wp:inline distT="0" distB="0" distL="114300" distR="114300">
            <wp:extent cx="5262880" cy="7592060"/>
            <wp:effectExtent l="0" t="0" r="13970" b="8890"/>
            <wp:docPr id="4" name="图片 5" descr="7a9e8859b6c4a756cf52c17d6c3da2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descr="7a9e8859b6c4a756cf52c17d6c3da2e"/>
                    <pic:cNvPicPr>
                      <a:picLocks noChangeAspect="1"/>
                    </pic:cNvPicPr>
                  </pic:nvPicPr>
                  <pic:blipFill>
                    <a:blip r:embed="rId8"/>
                    <a:stretch>
                      <a:fillRect/>
                    </a:stretch>
                  </pic:blipFill>
                  <pic:spPr>
                    <a:xfrm>
                      <a:off x="0" y="0"/>
                      <a:ext cx="5262880" cy="7592060"/>
                    </a:xfrm>
                    <a:prstGeom prst="rect">
                      <a:avLst/>
                    </a:prstGeom>
                    <a:noFill/>
                    <a:ln>
                      <a:noFill/>
                    </a:ln>
                  </pic:spPr>
                </pic:pic>
              </a:graphicData>
            </a:graphic>
          </wp:inline>
        </w:drawing>
      </w:r>
      <w:r>
        <w:rPr>
          <w:rFonts w:hint="eastAsia" w:ascii="宋体" w:hAnsi="宋体" w:eastAsia="宋体" w:cs="宋体"/>
          <w:b/>
          <w:bCs/>
          <w:color w:val="000000"/>
          <w:sz w:val="24"/>
          <w:lang w:eastAsia="zh-CN"/>
        </w:rPr>
        <w:drawing>
          <wp:inline distT="0" distB="0" distL="114300" distR="114300">
            <wp:extent cx="5262880" cy="7595870"/>
            <wp:effectExtent l="0" t="0" r="13970" b="5080"/>
            <wp:docPr id="7" name="图片 6" descr="100f32b6d035b303bb2c72e2db1d1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descr="100f32b6d035b303bb2c72e2db1d16b"/>
                    <pic:cNvPicPr>
                      <a:picLocks noChangeAspect="1"/>
                    </pic:cNvPicPr>
                  </pic:nvPicPr>
                  <pic:blipFill>
                    <a:blip r:embed="rId9"/>
                    <a:stretch>
                      <a:fillRect/>
                    </a:stretch>
                  </pic:blipFill>
                  <pic:spPr>
                    <a:xfrm>
                      <a:off x="0" y="0"/>
                      <a:ext cx="5262880" cy="7595870"/>
                    </a:xfrm>
                    <a:prstGeom prst="rect">
                      <a:avLst/>
                    </a:prstGeom>
                    <a:noFill/>
                    <a:ln>
                      <a:noFill/>
                    </a:ln>
                  </pic:spPr>
                </pic:pic>
              </a:graphicData>
            </a:graphic>
          </wp:inline>
        </w:drawing>
      </w:r>
    </w:p>
    <w:p w14:paraId="2CCAF5C9">
      <w:pPr>
        <w:spacing w:line="480" w:lineRule="auto"/>
        <w:rPr>
          <w:rFonts w:hint="eastAsia" w:ascii="宋体" w:hAnsi="宋体" w:eastAsia="宋体" w:cs="宋体"/>
          <w:b/>
          <w:bCs/>
          <w:color w:val="000000"/>
          <w:sz w:val="28"/>
          <w:szCs w:val="28"/>
        </w:rPr>
      </w:pPr>
      <w:r>
        <w:rPr>
          <w:rFonts w:hint="eastAsia" w:ascii="宋体" w:hAnsi="宋体" w:eastAsia="宋体" w:cs="宋体"/>
          <w:b/>
          <w:bCs/>
          <w:color w:val="000000"/>
          <w:sz w:val="28"/>
          <w:szCs w:val="28"/>
        </w:rPr>
        <w:br w:type="page"/>
      </w:r>
    </w:p>
    <w:p w14:paraId="6AAC4955">
      <w:pPr>
        <w:spacing w:line="480" w:lineRule="auto"/>
        <w:rPr>
          <w:rFonts w:hint="eastAsia" w:ascii="宋体" w:hAnsi="宋体" w:eastAsia="宋体" w:cs="宋体"/>
          <w:b/>
          <w:bCs/>
          <w:color w:val="000000"/>
          <w:sz w:val="28"/>
          <w:szCs w:val="28"/>
        </w:rPr>
      </w:pPr>
      <w:r>
        <w:rPr>
          <w:rFonts w:hint="eastAsia" w:ascii="宋体" w:hAnsi="宋体" w:cs="宋体"/>
          <w:b/>
          <w:bCs/>
          <w:color w:val="000000"/>
          <w:sz w:val="28"/>
          <w:szCs w:val="28"/>
          <w:lang w:val="en-US" w:eastAsia="zh-CN"/>
        </w:rPr>
        <w:t>3.3、</w:t>
      </w:r>
      <w:r>
        <w:rPr>
          <w:rFonts w:hint="eastAsia" w:ascii="宋体" w:hAnsi="宋体" w:eastAsia="宋体" w:cs="宋体"/>
          <w:b/>
          <w:bCs/>
          <w:color w:val="000000"/>
          <w:sz w:val="28"/>
          <w:szCs w:val="28"/>
        </w:rPr>
        <w:t>译文</w:t>
      </w:r>
    </w:p>
    <w:p w14:paraId="428FA3C8">
      <w:pPr>
        <w:rPr>
          <w:rFonts w:hint="default"/>
          <w:b/>
          <w:bCs/>
          <w:lang w:val="en-US" w:eastAsia="zh-CN"/>
        </w:rPr>
      </w:pPr>
      <w:r>
        <w:rPr>
          <w:rFonts w:hint="eastAsia" w:ascii="宋体" w:hAnsi="宋体" w:eastAsia="宋体" w:cs="宋体"/>
          <w:color w:val="000000"/>
          <w:sz w:val="24"/>
          <w:lang w:eastAsia="zh-CN"/>
        </w:rPr>
        <w:drawing>
          <wp:inline distT="0" distB="0" distL="114300" distR="114300">
            <wp:extent cx="5266690" cy="7472680"/>
            <wp:effectExtent l="0" t="0" r="10160" b="13970"/>
            <wp:docPr id="8" name="图片 7" descr="a770f11a8e88e9db184742936271e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a770f11a8e88e9db184742936271e51"/>
                    <pic:cNvPicPr>
                      <a:picLocks noChangeAspect="1"/>
                    </pic:cNvPicPr>
                  </pic:nvPicPr>
                  <pic:blipFill>
                    <a:blip r:embed="rId10"/>
                    <a:stretch>
                      <a:fillRect/>
                    </a:stretch>
                  </pic:blipFill>
                  <pic:spPr>
                    <a:xfrm>
                      <a:off x="0" y="0"/>
                      <a:ext cx="5266690" cy="7472680"/>
                    </a:xfrm>
                    <a:prstGeom prst="rect">
                      <a:avLst/>
                    </a:prstGeom>
                    <a:noFill/>
                    <a:ln>
                      <a:noFill/>
                    </a:ln>
                  </pic:spPr>
                </pic:pic>
              </a:graphicData>
            </a:graphic>
          </wp:inline>
        </w:drawing>
      </w:r>
      <w:r>
        <w:rPr>
          <w:rFonts w:hint="eastAsia" w:ascii="宋体" w:hAnsi="宋体" w:eastAsia="宋体" w:cs="宋体"/>
          <w:color w:val="000000"/>
          <w:sz w:val="24"/>
          <w:lang w:eastAsia="zh-CN"/>
        </w:rPr>
        <w:drawing>
          <wp:inline distT="0" distB="0" distL="114300" distR="114300">
            <wp:extent cx="7992110" cy="5023485"/>
            <wp:effectExtent l="0" t="0" r="5715" b="8890"/>
            <wp:docPr id="5" name="图片 8" descr="8dce7e70b2d15d0764e49159ae475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8" descr="8dce7e70b2d15d0764e49159ae4751c"/>
                    <pic:cNvPicPr>
                      <a:picLocks noChangeAspect="1"/>
                    </pic:cNvPicPr>
                  </pic:nvPicPr>
                  <pic:blipFill>
                    <a:blip r:embed="rId11"/>
                    <a:stretch>
                      <a:fillRect/>
                    </a:stretch>
                  </pic:blipFill>
                  <pic:spPr>
                    <a:xfrm rot="-5400000">
                      <a:off x="0" y="0"/>
                      <a:ext cx="7992110" cy="5023485"/>
                    </a:xfrm>
                    <a:prstGeom prst="rect">
                      <a:avLst/>
                    </a:prstGeom>
                    <a:noFill/>
                    <a:ln>
                      <a:noFill/>
                    </a:ln>
                  </pic:spPr>
                </pic:pic>
              </a:graphicData>
            </a:graphic>
          </wp:inline>
        </w:drawing>
      </w:r>
    </w:p>
    <w:p w14:paraId="709F7579">
      <w:pPr>
        <w:spacing w:line="500" w:lineRule="exact"/>
        <w:jc w:val="both"/>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KaiTi_GB2312">
    <w:altName w:val="楷体"/>
    <w:panose1 w:val="02020603050000020304"/>
    <w:charset w:val="00"/>
    <w:family w:val="roman"/>
    <w:pitch w:val="default"/>
    <w:sig w:usb0="00000000" w:usb1="00000000" w:usb2="00000008" w:usb3="00000000" w:csb0="000001FF" w:csb1="00000000"/>
  </w:font>
  <w:font w:name="楷体">
    <w:panose1 w:val="02010609060101010101"/>
    <w:charset w:val="86"/>
    <w:family w:val="auto"/>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F9F4DF"/>
    <w:multiLevelType w:val="singleLevel"/>
    <w:tmpl w:val="8DF9F4DF"/>
    <w:lvl w:ilvl="0" w:tentative="0">
      <w:start w:val="1"/>
      <w:numFmt w:val="chineseCounting"/>
      <w:suff w:val="space"/>
      <w:lvlText w:val="第%1章"/>
      <w:lvlJc w:val="left"/>
      <w:rPr>
        <w:rFonts w:hint="eastAsia"/>
      </w:rPr>
    </w:lvl>
  </w:abstractNum>
  <w:abstractNum w:abstractNumId="1">
    <w:nsid w:val="A43A0370"/>
    <w:multiLevelType w:val="multilevel"/>
    <w:tmpl w:val="A43A0370"/>
    <w:lvl w:ilvl="0" w:tentative="0">
      <w:start w:val="2"/>
      <w:numFmt w:val="decimal"/>
      <w:lvlText w:val="%1."/>
      <w:lvlJc w:val="left"/>
      <w:pPr>
        <w:tabs>
          <w:tab w:val="left" w:pos="312"/>
        </w:tabs>
      </w:p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2">
    <w:nsid w:val="E53F455A"/>
    <w:multiLevelType w:val="singleLevel"/>
    <w:tmpl w:val="E53F455A"/>
    <w:lvl w:ilvl="0" w:tentative="0">
      <w:start w:val="1"/>
      <w:numFmt w:val="decimal"/>
      <w:suff w:val="space"/>
      <w:lvlText w:val="%1."/>
      <w:lvlJc w:val="left"/>
    </w:lvl>
  </w:abstractNum>
  <w:abstractNum w:abstractNumId="3">
    <w:nsid w:val="F271BD88"/>
    <w:multiLevelType w:val="singleLevel"/>
    <w:tmpl w:val="F271BD88"/>
    <w:lvl w:ilvl="0" w:tentative="0">
      <w:start w:val="1"/>
      <w:numFmt w:val="upperLetter"/>
      <w:lvlText w:val="%1."/>
      <w:lvlJc w:val="left"/>
      <w:pPr>
        <w:ind w:left="425" w:hanging="425"/>
      </w:pPr>
      <w:rPr>
        <w:rFonts w:hint="default"/>
      </w:rPr>
    </w:lvl>
  </w:abstractNum>
  <w:abstractNum w:abstractNumId="4">
    <w:nsid w:val="1465B9D5"/>
    <w:multiLevelType w:val="singleLevel"/>
    <w:tmpl w:val="1465B9D5"/>
    <w:lvl w:ilvl="0" w:tentative="0">
      <w:start w:val="1"/>
      <w:numFmt w:val="decimal"/>
      <w:lvlText w:val="%1."/>
      <w:lvlJc w:val="left"/>
      <w:pPr>
        <w:ind w:left="425" w:hanging="425"/>
      </w:pPr>
      <w:rPr>
        <w:rFonts w:hint="default"/>
      </w:rPr>
    </w:lvl>
  </w:abstractNum>
  <w:abstractNum w:abstractNumId="5">
    <w:nsid w:val="38B79709"/>
    <w:multiLevelType w:val="singleLevel"/>
    <w:tmpl w:val="38B79709"/>
    <w:lvl w:ilvl="0" w:tentative="0">
      <w:start w:val="1"/>
      <w:numFmt w:val="chineseCounting"/>
      <w:suff w:val="nothing"/>
      <w:lvlText w:val="（%1）"/>
      <w:lvlJc w:val="left"/>
      <w:rPr>
        <w:rFonts w:hint="eastAsia"/>
      </w:rPr>
    </w:lvl>
  </w:abstractNum>
  <w:abstractNum w:abstractNumId="6">
    <w:nsid w:val="51D20D9B"/>
    <w:multiLevelType w:val="singleLevel"/>
    <w:tmpl w:val="51D20D9B"/>
    <w:lvl w:ilvl="0" w:tentative="0">
      <w:start w:val="3"/>
      <w:numFmt w:val="chineseCounting"/>
      <w:suff w:val="nothing"/>
      <w:lvlText w:val="%1、"/>
      <w:lvlJc w:val="left"/>
      <w:rPr>
        <w:rFonts w:hint="eastAsia"/>
      </w:rPr>
    </w:lvl>
  </w:abstractNum>
  <w:num w:numId="1">
    <w:abstractNumId w:val="0"/>
  </w:num>
  <w:num w:numId="2">
    <w:abstractNumId w:val="3"/>
  </w:num>
  <w:num w:numId="3">
    <w:abstractNumId w:val="6"/>
  </w:num>
  <w:num w:numId="4">
    <w:abstractNumId w:val="5"/>
  </w:num>
  <w:num w:numId="5">
    <w:abstractNumId w:val="4"/>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2CB333F"/>
    <w:rsid w:val="07716142"/>
    <w:rsid w:val="09D8489C"/>
    <w:rsid w:val="0A0E1A1D"/>
    <w:rsid w:val="11273237"/>
    <w:rsid w:val="18FD2BAF"/>
    <w:rsid w:val="1F776513"/>
    <w:rsid w:val="371371EE"/>
    <w:rsid w:val="46C95446"/>
    <w:rsid w:val="476144AF"/>
    <w:rsid w:val="4E2912CA"/>
    <w:rsid w:val="6A221ADE"/>
    <w:rsid w:val="C7F57CBE"/>
    <w:rsid w:val="CDF6A464"/>
    <w:rsid w:val="DBDE8C10"/>
  </w:rsids>
  <m:mathPr>
    <m:mathFont m:val="Cambria Math"/>
    <m:brkBin m:val="before"/>
    <m:brkBinSub m:val="--"/>
    <m:smallFrac m:val="1"/>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2"/>
      <w:lang w:val="en-US" w:eastAsia="zh-CN" w:bidi="ar-SA"/>
    </w:rPr>
  </w:style>
  <w:style w:type="paragraph" w:styleId="2">
    <w:name w:val="heading 2"/>
    <w:basedOn w:val="1"/>
    <w:qFormat/>
    <w:uiPriority w:val="0"/>
    <w:pPr>
      <w:widowControl w:val="0"/>
      <w:spacing w:before="0" w:beforeAutospacing="1" w:after="0" w:afterAutospacing="1"/>
      <w:ind w:left="0" w:right="0"/>
      <w:jc w:val="left"/>
    </w:pPr>
    <w:rPr>
      <w:rFonts w:ascii="宋体" w:hAnsi="宋体" w:eastAsia="宋体" w:cs="宋体"/>
      <w:b/>
      <w:bCs/>
      <w:sz w:val="36"/>
      <w:szCs w:val="36"/>
      <w:lang w:val="en-US" w:eastAsia="zh-CN" w:bidi="ar-SA"/>
    </w:rPr>
  </w:style>
  <w:style w:type="paragraph" w:styleId="3">
    <w:name w:val="heading 3"/>
    <w:basedOn w:val="1"/>
    <w:qFormat/>
    <w:uiPriority w:val="0"/>
    <w:pPr>
      <w:keepNext/>
      <w:keepLines/>
      <w:widowControl w:val="0"/>
      <w:spacing w:before="260" w:after="260" w:line="415" w:lineRule="auto"/>
      <w:ind w:left="0" w:right="0"/>
      <w:jc w:val="both"/>
      <w:outlineLvl w:val="2"/>
    </w:pPr>
    <w:rPr>
      <w:rFonts w:ascii="Calibri" w:hAnsi="Calibri" w:eastAsia="Arial" w:cs="Arial"/>
      <w:b/>
      <w:bCs/>
      <w:sz w:val="32"/>
      <w:szCs w:val="32"/>
      <w:lang w:val="en-US" w:eastAsia="zh-CN" w:bidi="ar-SA"/>
    </w:rPr>
  </w:style>
  <w:style w:type="character" w:default="1" w:styleId="13">
    <w:name w:val="Default Paragraph Font"/>
    <w:qFormat/>
    <w:uiPriority w:val="1"/>
  </w:style>
  <w:style w:type="table" w:default="1" w:styleId="11">
    <w:name w:val="Normal Table"/>
    <w:uiPriority w:val="99"/>
    <w:tblPr>
      <w:tblCellMar>
        <w:top w:w="0" w:type="dxa"/>
        <w:left w:w="108" w:type="dxa"/>
        <w:bottom w:w="0" w:type="dxa"/>
        <w:right w:w="108" w:type="dxa"/>
      </w:tblCellMar>
    </w:tblPr>
  </w:style>
  <w:style w:type="paragraph" w:styleId="4">
    <w:name w:val="Normal Indent"/>
    <w:basedOn w:val="1"/>
    <w:qFormat/>
    <w:uiPriority w:val="0"/>
    <w:pPr>
      <w:widowControl w:val="0"/>
      <w:spacing w:after="0"/>
      <w:ind w:firstLine="420"/>
      <w:jc w:val="both"/>
    </w:pPr>
    <w:rPr>
      <w:rFonts w:ascii="Calibri" w:hAnsi="Calibri" w:eastAsia="Arial" w:cs="Arial"/>
      <w:sz w:val="21"/>
      <w:szCs w:val="24"/>
      <w:lang w:val="en-US" w:eastAsia="zh-CN" w:bidi="ar-SA"/>
    </w:rPr>
  </w:style>
  <w:style w:type="paragraph" w:styleId="5">
    <w:name w:val="Body Text Indent"/>
    <w:basedOn w:val="1"/>
    <w:next w:val="1"/>
    <w:qFormat/>
    <w:uiPriority w:val="0"/>
    <w:pPr>
      <w:widowControl w:val="0"/>
      <w:spacing w:after="0"/>
      <w:ind w:firstLine="640"/>
      <w:jc w:val="both"/>
    </w:pPr>
    <w:rPr>
      <w:rFonts w:ascii="KaiTi_GB2312" w:hAnsi="Calibri" w:eastAsia="KaiTi_GB2312" w:cs="Arial"/>
      <w:sz w:val="32"/>
      <w:szCs w:val="32"/>
      <w:lang w:val="en-US" w:eastAsia="zh-CN" w:bidi="ar-SA"/>
    </w:rPr>
  </w:style>
  <w:style w:type="paragraph" w:styleId="6">
    <w:name w:val="Plain Text"/>
    <w:basedOn w:val="1"/>
    <w:qFormat/>
    <w:uiPriority w:val="0"/>
    <w:pPr>
      <w:widowControl w:val="0"/>
      <w:spacing w:after="0"/>
      <w:jc w:val="both"/>
    </w:pPr>
    <w:rPr>
      <w:rFonts w:ascii="宋体" w:hAnsi="Courier New" w:eastAsia="Arial" w:cs="Courier New"/>
      <w:sz w:val="21"/>
      <w:szCs w:val="21"/>
      <w:lang w:val="en-US" w:eastAsia="zh-CN" w:bidi="ar-SA"/>
    </w:rPr>
  </w:style>
  <w:style w:type="paragraph" w:styleId="7">
    <w:name w:val="footer"/>
    <w:basedOn w:val="1"/>
    <w:qFormat/>
    <w:uiPriority w:val="0"/>
    <w:pPr>
      <w:widowControl w:val="0"/>
      <w:tabs>
        <w:tab w:val="center" w:pos="4140"/>
        <w:tab w:val="right" w:pos="8300"/>
      </w:tabs>
      <w:spacing w:after="0"/>
      <w:jc w:val="left"/>
    </w:pPr>
    <w:rPr>
      <w:rFonts w:ascii="Calibri" w:hAnsi="Calibri" w:eastAsia="Arial" w:cs="Arial"/>
      <w:sz w:val="18"/>
      <w:szCs w:val="18"/>
      <w:lang w:val="en-US" w:eastAsia="zh-CN" w:bidi="ar-SA"/>
    </w:rPr>
  </w:style>
  <w:style w:type="paragraph" w:styleId="8">
    <w:name w:val="Body Text 2"/>
    <w:basedOn w:val="1"/>
    <w:qFormat/>
    <w:uiPriority w:val="0"/>
    <w:pPr>
      <w:widowControl/>
      <w:spacing w:after="0"/>
      <w:jc w:val="center"/>
    </w:pPr>
    <w:rPr>
      <w:rFonts w:ascii="KaiTi_GB2312" w:hAnsi="Calibri" w:eastAsia="KaiTi_GB2312" w:cs="Arial"/>
      <w:sz w:val="28"/>
      <w:szCs w:val="28"/>
      <w:lang w:val="en-US" w:eastAsia="zh-CN" w:bidi="ar-SA"/>
    </w:rPr>
  </w:style>
  <w:style w:type="paragraph" w:styleId="9">
    <w:name w:val="Normal (Web)"/>
    <w:basedOn w:val="1"/>
    <w:qFormat/>
    <w:uiPriority w:val="0"/>
    <w:pPr>
      <w:widowControl w:val="0"/>
      <w:spacing w:beforeAutospacing="1" w:after="0" w:afterAutospacing="1"/>
      <w:jc w:val="left"/>
    </w:pPr>
    <w:rPr>
      <w:rFonts w:ascii="Calibri" w:hAnsi="Calibri" w:eastAsia="Arial" w:cs="Times New Roman"/>
      <w:sz w:val="24"/>
      <w:szCs w:val="24"/>
      <w:lang w:val="en-US" w:eastAsia="zh-CN" w:bidi="ar-SA"/>
    </w:rPr>
  </w:style>
  <w:style w:type="paragraph" w:styleId="10">
    <w:name w:val="Body Text First Indent 2"/>
    <w:basedOn w:val="5"/>
    <w:next w:val="1"/>
    <w:qFormat/>
    <w:uiPriority w:val="0"/>
    <w:pPr>
      <w:widowControl w:val="0"/>
      <w:spacing w:before="0" w:after="120"/>
      <w:ind w:left="420" w:right="0" w:firstLine="420"/>
      <w:jc w:val="both"/>
    </w:pPr>
    <w:rPr>
      <w:rFonts w:ascii="KaiTi_GB2312" w:hAnsi="Calibri" w:eastAsia="KaiTi_GB2312" w:cs="Arial"/>
      <w:sz w:val="21"/>
      <w:szCs w:val="32"/>
      <w:lang w:val="en-US" w:eastAsia="zh-CN" w:bidi="ar-SA"/>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quot;普通(网站)1&quot;"/>
    <w:basedOn w:val="1"/>
    <w:qFormat/>
    <w:uiPriority w:val="0"/>
    <w:pPr>
      <w:widowControl/>
      <w:spacing w:before="100" w:beforeAutospacing="1" w:after="100" w:afterAutospacing="1"/>
      <w:ind w:left="0" w:right="0"/>
      <w:jc w:val="left"/>
    </w:pPr>
    <w:rPr>
      <w:rFonts w:ascii="宋体" w:hAnsi="宋体" w:eastAsia="Arial" w:cs="宋体"/>
      <w:sz w:val="24"/>
      <w:szCs w:val="24"/>
      <w:lang w:val="en-US" w:eastAsia="zh-CN" w:bidi="ar-SA"/>
    </w:rPr>
  </w:style>
  <w:style w:type="paragraph" w:customStyle="1" w:styleId="15">
    <w:name w:val="&quot;正文首行缩进 21&quot;"/>
    <w:qFormat/>
    <w:uiPriority w:val="0"/>
    <w:pPr>
      <w:widowControl w:val="0"/>
      <w:spacing w:before="0" w:after="120"/>
      <w:ind w:left="420" w:right="0" w:firstLine="420"/>
      <w:jc w:val="both"/>
    </w:pPr>
    <w:rPr>
      <w:rFonts w:ascii="Calibri" w:hAnsi="Calibri" w:eastAsia="Arial" w:cs="Arial"/>
      <w:kern w:val="2"/>
      <w:sz w:val="21"/>
      <w:szCs w:val="24"/>
      <w:lang w:val="en-US" w:eastAsia="zh-CN" w:bidi="ar-SA"/>
    </w:rPr>
  </w:style>
  <w:style w:type="paragraph" w:customStyle="1" w:styleId="16">
    <w:name w:val="&quot;正文文本缩进1&quot;"/>
    <w:basedOn w:val="1"/>
    <w:qFormat/>
    <w:uiPriority w:val="0"/>
    <w:pPr>
      <w:widowControl w:val="0"/>
      <w:spacing w:before="0" w:after="120"/>
      <w:ind w:left="420" w:right="0"/>
      <w:jc w:val="both"/>
    </w:pPr>
    <w:rPr>
      <w:rFonts w:ascii="Calibri" w:hAnsi="Calibri" w:eastAsia="Arial" w:cs="Arial"/>
      <w:sz w:val="21"/>
      <w:szCs w:val="24"/>
      <w:lang w:val="en-US" w:eastAsia="zh-CN" w:bidi="ar-SA"/>
    </w:rPr>
  </w:style>
  <w:style w:type="paragraph" w:customStyle="1" w:styleId="17">
    <w:name w:val="&quot;普通(网站)1&quot;1"/>
    <w:basedOn w:val="1"/>
    <w:qFormat/>
    <w:uiPriority w:val="0"/>
    <w:pPr>
      <w:widowControl/>
      <w:spacing w:before="100" w:beforeAutospacing="1" w:after="100" w:afterAutospacing="1"/>
      <w:ind w:left="0" w:right="0"/>
      <w:jc w:val="left"/>
    </w:pPr>
    <w:rPr>
      <w:rFonts w:ascii="宋体" w:hAnsi="宋体" w:eastAsia="Arial" w:cs="宋体"/>
      <w:sz w:val="24"/>
      <w:szCs w:val="24"/>
      <w:lang w:val="en-US" w:eastAsia="zh-CN" w:bidi="ar-SA"/>
    </w:rPr>
  </w:style>
  <w:style w:type="paragraph" w:customStyle="1" w:styleId="18">
    <w:name w:val="&quot;正文首行缩进 21&quot;1"/>
    <w:qFormat/>
    <w:uiPriority w:val="0"/>
    <w:pPr>
      <w:widowControl w:val="0"/>
      <w:spacing w:before="0" w:after="120"/>
      <w:ind w:left="420" w:right="0" w:firstLine="420"/>
      <w:jc w:val="both"/>
    </w:pPr>
    <w:rPr>
      <w:rFonts w:ascii="Calibri" w:hAnsi="Calibri" w:eastAsia="Arial" w:cs="Arial"/>
      <w:kern w:val="2"/>
      <w:sz w:val="21"/>
      <w:szCs w:val="24"/>
      <w:lang w:val="en-US" w:eastAsia="zh-CN" w:bidi="ar-SA"/>
    </w:rPr>
  </w:style>
  <w:style w:type="paragraph" w:customStyle="1" w:styleId="19">
    <w:name w:val="&quot;正文文本缩进1&quot;1"/>
    <w:basedOn w:val="1"/>
    <w:qFormat/>
    <w:uiPriority w:val="0"/>
    <w:pPr>
      <w:widowControl w:val="0"/>
      <w:spacing w:before="0" w:after="120"/>
      <w:ind w:left="420" w:right="0"/>
      <w:jc w:val="both"/>
    </w:pPr>
    <w:rPr>
      <w:rFonts w:ascii="Calibri" w:hAnsi="Calibri" w:eastAsia="Arial" w:cs="Arial"/>
      <w:sz w:val="21"/>
      <w:szCs w:val="24"/>
      <w:lang w:val="en-US" w:eastAsia="zh-CN" w:bidi="ar-SA"/>
    </w:rPr>
  </w:style>
  <w:style w:type="paragraph" w:customStyle="1" w:styleId="20">
    <w:name w:val="Table Text"/>
    <w:basedOn w:val="1"/>
    <w:semiHidden/>
    <w:qFormat/>
    <w:uiPriority w:val="0"/>
    <w:rPr>
      <w:rFonts w:ascii="宋体" w:hAnsi="宋体" w:eastAsia="宋体" w:cs="宋体"/>
      <w:sz w:val="20"/>
      <w:szCs w:val="20"/>
      <w:lang w:val="en-US" w:eastAsia="en-US" w:bidi="ar-SA"/>
    </w:rPr>
  </w:style>
  <w:style w:type="paragraph" w:customStyle="1" w:styleId="21">
    <w:name w:val="+ 正文"/>
    <w:basedOn w:val="1"/>
    <w:qFormat/>
    <w:uiPriority w:val="0"/>
    <w:pPr>
      <w:keepNext w:val="0"/>
      <w:keepLines w:val="0"/>
      <w:widowControl w:val="0"/>
      <w:suppressLineNumbers w:val="0"/>
      <w:spacing w:before="0" w:beforeAutospacing="0" w:after="0" w:afterAutospacing="0" w:line="360" w:lineRule="auto"/>
      <w:ind w:left="0" w:right="0" w:firstLine="200" w:firstLineChars="200"/>
      <w:jc w:val="both"/>
    </w:pPr>
    <w:rPr>
      <w:rFonts w:hint="default" w:ascii="Calibri" w:hAnsi="Calibri" w:eastAsia="宋体" w:cs="Times New Roman"/>
      <w:kern w:val="2"/>
      <w:sz w:val="24"/>
      <w:szCs w:val="24"/>
      <w:lang w:val="en-US" w:eastAsia="zh-CN" w:bidi="ar"/>
    </w:rPr>
  </w:style>
  <w:style w:type="paragraph" w:customStyle="1" w:styleId="22">
    <w:name w:val="文本块11"/>
    <w:basedOn w:val="1"/>
    <w:qFormat/>
    <w:uiPriority w:val="99"/>
    <w:pPr>
      <w:spacing w:after="120"/>
      <w:ind w:left="1440"/>
    </w:p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76</Pages>
  <Words>6846</Words>
  <Characters>7054</Characters>
  <Paragraphs>483</Paragraphs>
  <TotalTime>31</TotalTime>
  <ScaleCrop>false</ScaleCrop>
  <LinksUpToDate>false</LinksUpToDate>
  <CharactersWithSpaces>7264</CharactersWithSpaces>
  <Application>WPS Office_12.1.0.22529_F1E327BC-269C-435d-A152-05C5408002CA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2025-09-26T01:27:00Z</dcterms:created>
  <dc:creator>24129PN74C</dc:creator>
  <cp:lastModifiedBy>Jayce</cp:lastModifiedBy>
  <cp:lastPrinted>2025-09-28T02:53:00Z</cp:lastPrinted>
  <dcterms:modified xsi:type="dcterms:W3CDTF">2025-09-29T09:01:04Z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30538A99C076439EBF1630DEDF60224D_13</vt:lpwstr>
  </property>
  <property fmtid="{D5CDD505-2E9C-101B-9397-08002B2CF9AE}" pid="3" name="KSOTemplateDocerSaveRecord">
    <vt:lpwstr>eyJoZGlkIjoiMTk4MDFmNzVhMGM4Yjk0MzRmMTUzODA5ZGM0ZjBiZDMiLCJ1c2VySWQiOiI1ODE4MDAwNTQifQ==</vt:lpwstr>
  </property>
  <property fmtid="{D5CDD505-2E9C-101B-9397-08002B2CF9AE}" pid="4" name="KSOProductBuildVer">
    <vt:lpwstr>2052-12.1.0.22529</vt:lpwstr>
  </property>
</Properties>
</file>