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keepNext w:val="0"/>
        <w:keepLines w:val="0"/>
        <w:pageBreakBefore w:val="0"/>
        <w:widowControl w:val="0"/>
        <w:kinsoku/>
        <w:wordWrap/>
        <w:overflowPunct/>
        <w:topLinePunct w:val="0"/>
        <w:autoSpaceDE/>
        <w:autoSpaceDN/>
        <w:bidi w:val="0"/>
        <w:adjustRightInd/>
        <w:snapToGrid/>
        <w:spacing w:line="480" w:lineRule="auto"/>
        <w:jc w:val="center"/>
        <w:textAlignment w:val="auto"/>
        <w:rPr>
          <w:b/>
          <w:bCs/>
          <w:sz w:val="32"/>
          <w:szCs w:val="32"/>
        </w:rPr>
      </w:pPr>
      <w:r>
        <w:rPr>
          <w:rFonts w:hint="eastAsia" w:cs="Times New Roman"/>
          <w:b/>
          <w:bCs/>
          <w:sz w:val="32"/>
          <w:szCs w:val="32"/>
          <w:lang w:val="en-US" w:eastAsia="zh-CN"/>
        </w:rPr>
        <w:t>驾培公司车辆蓄电池供应商遴选采购项目询价公告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驾培公司车辆蓄电池供应商遴选采购项目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numPr>
          <w:ilvl w:val="0"/>
          <w:numId w:val="0"/>
        </w:num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kern w:val="2"/>
          <w:sz w:val="28"/>
          <w:szCs w:val="28"/>
          <w:lang w:val="en-US" w:eastAsia="zh-CN" w:bidi="ar-SA"/>
        </w:rPr>
        <w:t>一、</w:t>
      </w:r>
      <w:r>
        <w:rPr>
          <w:rFonts w:hint="eastAsia" w:ascii="黑体" w:hAnsi="黑体" w:eastAsia="黑体" w:cs="黑体"/>
          <w:b/>
          <w:bCs/>
          <w:sz w:val="28"/>
          <w:szCs w:val="28"/>
          <w:lang w:eastAsia="zh-CN"/>
        </w:rPr>
        <w:t>采购项目</w:t>
      </w:r>
    </w:p>
    <w:p w14:paraId="5C5D42F0">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eastAsia"/>
          <w:b/>
          <w:bCs/>
          <w:sz w:val="28"/>
          <w:szCs w:val="28"/>
          <w:lang w:val="en-US" w:eastAsia="zh-CN"/>
        </w:rPr>
      </w:pPr>
      <w:r>
        <w:rPr>
          <w:rFonts w:hint="eastAsia"/>
          <w:sz w:val="28"/>
          <w:szCs w:val="28"/>
          <w:lang w:val="en-US" w:eastAsia="zh-CN"/>
        </w:rPr>
        <w:t>驾培公司原汽车蓄电池供应商合同期已满，为规范经营，确保车辆正常培训，需要向具备汽车蓄电池销售、旧电瓶回收资质的供应商采购汽车用蓄电池，品牌：骆驼牌或统一牌，型号：60A（起亚福瑞迪和赛拉图轿车）、150A（东风货车）、200A（客车），合计年需求量约60只，上门以旧换新，营运车辆质保期一年，质保期内免费更换，上门更换电瓶需在一小时内完成。</w:t>
      </w:r>
      <w:r>
        <w:rPr>
          <w:rFonts w:hint="eastAsia"/>
          <w:b/>
          <w:bCs/>
          <w:sz w:val="28"/>
          <w:szCs w:val="28"/>
          <w:lang w:val="en-US" w:eastAsia="zh-CN"/>
        </w:rPr>
        <w:t>供应合同期三年，年度按实数结算。</w:t>
      </w:r>
    </w:p>
    <w:p w14:paraId="1B421C3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jc w:val="center"/>
        <w:textAlignment w:val="auto"/>
        <w:rPr>
          <w:rFonts w:hint="default"/>
          <w:sz w:val="30"/>
          <w:szCs w:val="30"/>
          <w:lang w:val="en-US" w:eastAsia="zh-CN"/>
        </w:rPr>
      </w:pPr>
      <w:r>
        <w:rPr>
          <w:rFonts w:hint="eastAsia"/>
          <w:sz w:val="30"/>
          <w:szCs w:val="30"/>
          <w:lang w:val="en-US" w:eastAsia="zh-CN"/>
        </w:rPr>
        <w:t>年需求清单</w:t>
      </w:r>
    </w:p>
    <w:tbl>
      <w:tblPr>
        <w:tblStyle w:val="10"/>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901"/>
        <w:gridCol w:w="1201"/>
        <w:gridCol w:w="988"/>
        <w:gridCol w:w="997"/>
        <w:gridCol w:w="1463"/>
        <w:gridCol w:w="1605"/>
      </w:tblGrid>
      <w:tr w14:paraId="6492B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901" w:type="dxa"/>
            <w:vAlign w:val="center"/>
          </w:tcPr>
          <w:p w14:paraId="4C4A76BB">
            <w:pPr>
              <w:jc w:val="center"/>
              <w:rPr>
                <w:rFonts w:hint="default"/>
                <w:sz w:val="28"/>
                <w:szCs w:val="28"/>
                <w:vertAlign w:val="baseline"/>
                <w:lang w:val="en-US" w:eastAsia="zh-CN"/>
              </w:rPr>
            </w:pPr>
            <w:r>
              <w:rPr>
                <w:rFonts w:hint="eastAsia"/>
                <w:sz w:val="28"/>
                <w:szCs w:val="28"/>
                <w:vertAlign w:val="baseline"/>
                <w:lang w:val="en-US" w:eastAsia="zh-CN"/>
              </w:rPr>
              <w:t>序号</w:t>
            </w:r>
          </w:p>
        </w:tc>
        <w:tc>
          <w:tcPr>
            <w:tcW w:w="1901" w:type="dxa"/>
            <w:vAlign w:val="center"/>
          </w:tcPr>
          <w:p w14:paraId="00402BB1">
            <w:pPr>
              <w:jc w:val="center"/>
              <w:rPr>
                <w:rFonts w:hint="default"/>
                <w:sz w:val="28"/>
                <w:szCs w:val="28"/>
                <w:vertAlign w:val="baseline"/>
                <w:lang w:val="en-US" w:eastAsia="zh-CN"/>
              </w:rPr>
            </w:pPr>
            <w:r>
              <w:rPr>
                <w:rFonts w:hint="eastAsia"/>
                <w:sz w:val="28"/>
                <w:szCs w:val="28"/>
                <w:vertAlign w:val="baseline"/>
                <w:lang w:val="en-US" w:eastAsia="zh-CN"/>
              </w:rPr>
              <w:t>产品名称</w:t>
            </w:r>
          </w:p>
        </w:tc>
        <w:tc>
          <w:tcPr>
            <w:tcW w:w="1201" w:type="dxa"/>
            <w:vAlign w:val="center"/>
          </w:tcPr>
          <w:p w14:paraId="3F272CB7">
            <w:pPr>
              <w:jc w:val="center"/>
              <w:rPr>
                <w:rFonts w:hint="default"/>
                <w:sz w:val="28"/>
                <w:szCs w:val="28"/>
                <w:vertAlign w:val="baseline"/>
                <w:lang w:val="en-US" w:eastAsia="zh-CN"/>
              </w:rPr>
            </w:pPr>
            <w:r>
              <w:rPr>
                <w:rFonts w:hint="eastAsia"/>
                <w:sz w:val="28"/>
                <w:szCs w:val="28"/>
                <w:vertAlign w:val="baseline"/>
                <w:lang w:val="en-US" w:eastAsia="zh-CN"/>
              </w:rPr>
              <w:t>规格</w:t>
            </w:r>
          </w:p>
        </w:tc>
        <w:tc>
          <w:tcPr>
            <w:tcW w:w="988" w:type="dxa"/>
            <w:vAlign w:val="center"/>
          </w:tcPr>
          <w:p w14:paraId="5FD9965E">
            <w:pPr>
              <w:jc w:val="center"/>
              <w:rPr>
                <w:rFonts w:hint="default"/>
                <w:sz w:val="28"/>
                <w:szCs w:val="28"/>
                <w:vertAlign w:val="baseline"/>
                <w:lang w:val="en-US" w:eastAsia="zh-CN"/>
              </w:rPr>
            </w:pPr>
            <w:r>
              <w:rPr>
                <w:rFonts w:hint="eastAsia"/>
                <w:sz w:val="28"/>
                <w:szCs w:val="28"/>
                <w:vertAlign w:val="baseline"/>
                <w:lang w:val="en-US" w:eastAsia="zh-CN"/>
              </w:rPr>
              <w:t>单位</w:t>
            </w:r>
          </w:p>
        </w:tc>
        <w:tc>
          <w:tcPr>
            <w:tcW w:w="997" w:type="dxa"/>
            <w:shd w:val="clear" w:color="auto" w:fill="auto"/>
            <w:vAlign w:val="center"/>
          </w:tcPr>
          <w:p w14:paraId="1DB1AA6C">
            <w:pPr>
              <w:jc w:val="center"/>
              <w:rPr>
                <w:rFonts w:hint="default" w:ascii="Calibri" w:hAnsi="Calibri" w:eastAsia="宋体" w:cs="Times New Roman"/>
                <w:kern w:val="2"/>
                <w:sz w:val="24"/>
                <w:szCs w:val="24"/>
                <w:vertAlign w:val="baseline"/>
                <w:lang w:val="en-US" w:eastAsia="zh-CN" w:bidi="ar-SA"/>
              </w:rPr>
            </w:pPr>
            <w:r>
              <w:rPr>
                <w:rFonts w:hint="eastAsia"/>
                <w:sz w:val="24"/>
                <w:szCs w:val="24"/>
                <w:vertAlign w:val="baseline"/>
                <w:lang w:val="en-US" w:eastAsia="zh-CN"/>
              </w:rPr>
              <w:t>数量</w:t>
            </w:r>
          </w:p>
        </w:tc>
        <w:tc>
          <w:tcPr>
            <w:tcW w:w="1463" w:type="dxa"/>
            <w:vAlign w:val="center"/>
          </w:tcPr>
          <w:p w14:paraId="48CE2A1A">
            <w:pPr>
              <w:jc w:val="center"/>
              <w:rPr>
                <w:rFonts w:hint="default"/>
                <w:sz w:val="24"/>
                <w:szCs w:val="24"/>
                <w:vertAlign w:val="baseline"/>
                <w:lang w:val="en-US" w:eastAsia="zh-CN"/>
              </w:rPr>
            </w:pPr>
            <w:r>
              <w:rPr>
                <w:rFonts w:hint="eastAsia"/>
                <w:sz w:val="24"/>
                <w:szCs w:val="24"/>
                <w:vertAlign w:val="baseline"/>
                <w:lang w:val="en-US" w:eastAsia="zh-CN"/>
              </w:rPr>
              <w:t>单价（元）</w:t>
            </w:r>
          </w:p>
        </w:tc>
        <w:tc>
          <w:tcPr>
            <w:tcW w:w="1605" w:type="dxa"/>
            <w:vAlign w:val="center"/>
          </w:tcPr>
          <w:p w14:paraId="6949489B">
            <w:pPr>
              <w:jc w:val="center"/>
              <w:rPr>
                <w:rFonts w:hint="default"/>
                <w:sz w:val="28"/>
                <w:szCs w:val="28"/>
                <w:vertAlign w:val="baseline"/>
                <w:lang w:val="en-US" w:eastAsia="zh-CN"/>
              </w:rPr>
            </w:pPr>
            <w:r>
              <w:rPr>
                <w:rFonts w:hint="eastAsia"/>
                <w:sz w:val="28"/>
                <w:szCs w:val="28"/>
                <w:vertAlign w:val="baseline"/>
                <w:lang w:val="en-US" w:eastAsia="zh-CN"/>
              </w:rPr>
              <w:t>小计（元）</w:t>
            </w:r>
          </w:p>
        </w:tc>
      </w:tr>
      <w:tr w14:paraId="24D0D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062D23F6">
            <w:pPr>
              <w:jc w:val="center"/>
              <w:rPr>
                <w:rFonts w:hint="default"/>
                <w:sz w:val="28"/>
                <w:szCs w:val="28"/>
                <w:vertAlign w:val="baseline"/>
                <w:lang w:val="en-US" w:eastAsia="zh-CN"/>
              </w:rPr>
            </w:pPr>
            <w:r>
              <w:rPr>
                <w:rFonts w:hint="eastAsia"/>
                <w:sz w:val="28"/>
                <w:szCs w:val="28"/>
                <w:vertAlign w:val="baseline"/>
                <w:lang w:val="en-US" w:eastAsia="zh-CN"/>
              </w:rPr>
              <w:t>1</w:t>
            </w:r>
          </w:p>
        </w:tc>
        <w:tc>
          <w:tcPr>
            <w:tcW w:w="1901" w:type="dxa"/>
            <w:vAlign w:val="center"/>
          </w:tcPr>
          <w:p w14:paraId="58735C9D">
            <w:pPr>
              <w:jc w:val="center"/>
              <w:rPr>
                <w:rFonts w:hint="default"/>
                <w:sz w:val="28"/>
                <w:szCs w:val="28"/>
                <w:vertAlign w:val="baseline"/>
                <w:lang w:val="en-US" w:eastAsia="zh-CN"/>
              </w:rPr>
            </w:pPr>
            <w:r>
              <w:rPr>
                <w:rFonts w:hint="eastAsia"/>
                <w:sz w:val="28"/>
                <w:szCs w:val="28"/>
                <w:vertAlign w:val="baseline"/>
                <w:lang w:val="en-US" w:eastAsia="zh-CN"/>
              </w:rPr>
              <w:t>轿车蓄电池</w:t>
            </w:r>
          </w:p>
        </w:tc>
        <w:tc>
          <w:tcPr>
            <w:tcW w:w="1201" w:type="dxa"/>
            <w:vAlign w:val="center"/>
          </w:tcPr>
          <w:p w14:paraId="35B46693">
            <w:pPr>
              <w:jc w:val="center"/>
              <w:rPr>
                <w:rFonts w:hint="default"/>
                <w:sz w:val="28"/>
                <w:szCs w:val="28"/>
                <w:vertAlign w:val="baseline"/>
                <w:lang w:val="en-US" w:eastAsia="zh-CN"/>
              </w:rPr>
            </w:pPr>
            <w:r>
              <w:rPr>
                <w:rFonts w:hint="eastAsia"/>
                <w:sz w:val="28"/>
                <w:szCs w:val="28"/>
                <w:vertAlign w:val="baseline"/>
                <w:lang w:val="en-US" w:eastAsia="zh-CN"/>
              </w:rPr>
              <w:t>60AH</w:t>
            </w:r>
          </w:p>
        </w:tc>
        <w:tc>
          <w:tcPr>
            <w:tcW w:w="988" w:type="dxa"/>
            <w:vAlign w:val="center"/>
          </w:tcPr>
          <w:p w14:paraId="298817CC">
            <w:pPr>
              <w:jc w:val="center"/>
              <w:rPr>
                <w:rFonts w:hint="default"/>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5C21182E">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50</w:t>
            </w:r>
          </w:p>
        </w:tc>
        <w:tc>
          <w:tcPr>
            <w:tcW w:w="1463" w:type="dxa"/>
            <w:vAlign w:val="center"/>
          </w:tcPr>
          <w:p w14:paraId="3D91347C">
            <w:pPr>
              <w:jc w:val="center"/>
              <w:rPr>
                <w:rFonts w:hint="default"/>
                <w:sz w:val="28"/>
                <w:szCs w:val="28"/>
                <w:vertAlign w:val="baseline"/>
                <w:lang w:val="en-US" w:eastAsia="zh-CN"/>
              </w:rPr>
            </w:pPr>
          </w:p>
        </w:tc>
        <w:tc>
          <w:tcPr>
            <w:tcW w:w="1605" w:type="dxa"/>
            <w:vAlign w:val="center"/>
          </w:tcPr>
          <w:p w14:paraId="24E92451">
            <w:pPr>
              <w:jc w:val="center"/>
              <w:rPr>
                <w:rFonts w:hint="default"/>
                <w:sz w:val="28"/>
                <w:szCs w:val="28"/>
                <w:vertAlign w:val="baseline"/>
                <w:lang w:val="en-US" w:eastAsia="zh-CN"/>
              </w:rPr>
            </w:pPr>
          </w:p>
        </w:tc>
      </w:tr>
      <w:tr w14:paraId="553D0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47041644">
            <w:pPr>
              <w:jc w:val="center"/>
              <w:rPr>
                <w:rFonts w:hint="default"/>
                <w:sz w:val="28"/>
                <w:szCs w:val="28"/>
                <w:vertAlign w:val="baseline"/>
                <w:lang w:val="en-US" w:eastAsia="zh-CN"/>
              </w:rPr>
            </w:pPr>
            <w:r>
              <w:rPr>
                <w:rFonts w:hint="eastAsia"/>
                <w:sz w:val="28"/>
                <w:szCs w:val="28"/>
                <w:vertAlign w:val="baseline"/>
                <w:lang w:val="en-US" w:eastAsia="zh-CN"/>
              </w:rPr>
              <w:t>2</w:t>
            </w:r>
          </w:p>
        </w:tc>
        <w:tc>
          <w:tcPr>
            <w:tcW w:w="1901" w:type="dxa"/>
            <w:vAlign w:val="center"/>
          </w:tcPr>
          <w:p w14:paraId="6093E0D6">
            <w:pPr>
              <w:jc w:val="center"/>
              <w:rPr>
                <w:rFonts w:hint="default"/>
                <w:sz w:val="28"/>
                <w:szCs w:val="28"/>
                <w:vertAlign w:val="baseline"/>
                <w:lang w:val="en-US" w:eastAsia="zh-CN"/>
              </w:rPr>
            </w:pPr>
            <w:r>
              <w:rPr>
                <w:rFonts w:hint="eastAsia"/>
                <w:sz w:val="28"/>
                <w:szCs w:val="28"/>
                <w:vertAlign w:val="baseline"/>
                <w:lang w:val="en-US" w:eastAsia="zh-CN"/>
              </w:rPr>
              <w:t>货车蓄电池</w:t>
            </w:r>
          </w:p>
        </w:tc>
        <w:tc>
          <w:tcPr>
            <w:tcW w:w="1201" w:type="dxa"/>
            <w:vAlign w:val="center"/>
          </w:tcPr>
          <w:p w14:paraId="51067C28">
            <w:pPr>
              <w:jc w:val="center"/>
              <w:rPr>
                <w:rFonts w:hint="default"/>
                <w:sz w:val="28"/>
                <w:szCs w:val="28"/>
                <w:vertAlign w:val="baseline"/>
                <w:lang w:val="en-US" w:eastAsia="zh-CN"/>
              </w:rPr>
            </w:pPr>
            <w:r>
              <w:rPr>
                <w:rFonts w:hint="eastAsia"/>
                <w:sz w:val="28"/>
                <w:szCs w:val="28"/>
                <w:vertAlign w:val="baseline"/>
                <w:lang w:val="en-US" w:eastAsia="zh-CN"/>
              </w:rPr>
              <w:t>150AH</w:t>
            </w:r>
          </w:p>
        </w:tc>
        <w:tc>
          <w:tcPr>
            <w:tcW w:w="988" w:type="dxa"/>
            <w:vAlign w:val="center"/>
          </w:tcPr>
          <w:p w14:paraId="617848CD">
            <w:pPr>
              <w:jc w:val="center"/>
              <w:rPr>
                <w:rFonts w:hint="default"/>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65927072">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6</w:t>
            </w:r>
          </w:p>
        </w:tc>
        <w:tc>
          <w:tcPr>
            <w:tcW w:w="1463" w:type="dxa"/>
            <w:vAlign w:val="center"/>
          </w:tcPr>
          <w:p w14:paraId="3C228470">
            <w:pPr>
              <w:jc w:val="center"/>
              <w:rPr>
                <w:rFonts w:hint="default"/>
                <w:sz w:val="28"/>
                <w:szCs w:val="28"/>
                <w:vertAlign w:val="baseline"/>
                <w:lang w:val="en-US" w:eastAsia="zh-CN"/>
              </w:rPr>
            </w:pPr>
          </w:p>
        </w:tc>
        <w:tc>
          <w:tcPr>
            <w:tcW w:w="1605" w:type="dxa"/>
            <w:vAlign w:val="center"/>
          </w:tcPr>
          <w:p w14:paraId="2648B1B1">
            <w:pPr>
              <w:jc w:val="center"/>
              <w:rPr>
                <w:rFonts w:hint="default"/>
                <w:sz w:val="28"/>
                <w:szCs w:val="28"/>
                <w:vertAlign w:val="baseline"/>
                <w:lang w:val="en-US" w:eastAsia="zh-CN"/>
              </w:rPr>
            </w:pPr>
          </w:p>
        </w:tc>
      </w:tr>
      <w:tr w14:paraId="19F66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51A5C561">
            <w:pPr>
              <w:jc w:val="center"/>
              <w:rPr>
                <w:rFonts w:hint="default"/>
                <w:sz w:val="28"/>
                <w:szCs w:val="28"/>
                <w:vertAlign w:val="baseline"/>
                <w:lang w:val="en-US" w:eastAsia="zh-CN"/>
              </w:rPr>
            </w:pPr>
            <w:r>
              <w:rPr>
                <w:rFonts w:hint="eastAsia"/>
                <w:sz w:val="28"/>
                <w:szCs w:val="28"/>
                <w:vertAlign w:val="baseline"/>
                <w:lang w:val="en-US" w:eastAsia="zh-CN"/>
              </w:rPr>
              <w:t>3</w:t>
            </w:r>
          </w:p>
        </w:tc>
        <w:tc>
          <w:tcPr>
            <w:tcW w:w="1901" w:type="dxa"/>
            <w:vAlign w:val="center"/>
          </w:tcPr>
          <w:p w14:paraId="6211BABA">
            <w:pPr>
              <w:jc w:val="center"/>
              <w:rPr>
                <w:rFonts w:hint="default"/>
                <w:sz w:val="28"/>
                <w:szCs w:val="28"/>
                <w:vertAlign w:val="baseline"/>
                <w:lang w:val="en-US" w:eastAsia="zh-CN"/>
              </w:rPr>
            </w:pPr>
            <w:r>
              <w:rPr>
                <w:rFonts w:hint="eastAsia"/>
                <w:sz w:val="28"/>
                <w:szCs w:val="28"/>
                <w:vertAlign w:val="baseline"/>
                <w:lang w:val="en-US" w:eastAsia="zh-CN"/>
              </w:rPr>
              <w:t>客车蓄电池</w:t>
            </w:r>
          </w:p>
        </w:tc>
        <w:tc>
          <w:tcPr>
            <w:tcW w:w="1201" w:type="dxa"/>
            <w:vAlign w:val="center"/>
          </w:tcPr>
          <w:p w14:paraId="22D6B3AE">
            <w:pPr>
              <w:jc w:val="center"/>
              <w:rPr>
                <w:rFonts w:hint="eastAsia"/>
                <w:sz w:val="28"/>
                <w:szCs w:val="28"/>
                <w:vertAlign w:val="baseline"/>
                <w:lang w:val="en-US" w:eastAsia="zh-CN"/>
              </w:rPr>
            </w:pPr>
            <w:r>
              <w:rPr>
                <w:rFonts w:hint="eastAsia"/>
                <w:sz w:val="28"/>
                <w:szCs w:val="28"/>
                <w:vertAlign w:val="baseline"/>
                <w:lang w:val="en-US" w:eastAsia="zh-CN"/>
              </w:rPr>
              <w:t>200AH</w:t>
            </w:r>
          </w:p>
        </w:tc>
        <w:tc>
          <w:tcPr>
            <w:tcW w:w="988" w:type="dxa"/>
            <w:vAlign w:val="center"/>
          </w:tcPr>
          <w:p w14:paraId="67A473AD">
            <w:pPr>
              <w:jc w:val="center"/>
              <w:rPr>
                <w:rFonts w:hint="eastAsia"/>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105F7C5A">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2</w:t>
            </w:r>
          </w:p>
        </w:tc>
        <w:tc>
          <w:tcPr>
            <w:tcW w:w="1463" w:type="dxa"/>
            <w:vAlign w:val="center"/>
          </w:tcPr>
          <w:p w14:paraId="5B424004">
            <w:pPr>
              <w:jc w:val="center"/>
              <w:rPr>
                <w:rFonts w:hint="default"/>
                <w:sz w:val="28"/>
                <w:szCs w:val="28"/>
                <w:vertAlign w:val="baseline"/>
                <w:lang w:val="en-US" w:eastAsia="zh-CN"/>
              </w:rPr>
            </w:pPr>
          </w:p>
        </w:tc>
        <w:tc>
          <w:tcPr>
            <w:tcW w:w="1605" w:type="dxa"/>
            <w:vAlign w:val="center"/>
          </w:tcPr>
          <w:p w14:paraId="3BD560F7">
            <w:pPr>
              <w:jc w:val="center"/>
              <w:rPr>
                <w:rFonts w:hint="default"/>
                <w:sz w:val="28"/>
                <w:szCs w:val="28"/>
                <w:vertAlign w:val="baseline"/>
                <w:lang w:val="en-US" w:eastAsia="zh-CN"/>
              </w:rPr>
            </w:pPr>
          </w:p>
        </w:tc>
      </w:tr>
      <w:tr w14:paraId="03D73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802" w:type="dxa"/>
            <w:gridSpan w:val="2"/>
            <w:vAlign w:val="center"/>
          </w:tcPr>
          <w:p w14:paraId="7698E0C3">
            <w:pPr>
              <w:tabs>
                <w:tab w:val="left" w:pos="5115"/>
              </w:tabs>
              <w:jc w:val="center"/>
              <w:rPr>
                <w:rFonts w:hint="default"/>
                <w:sz w:val="28"/>
                <w:szCs w:val="28"/>
                <w:vertAlign w:val="baseline"/>
                <w:lang w:val="en-US" w:eastAsia="zh-CN"/>
              </w:rPr>
            </w:pPr>
            <w:r>
              <w:rPr>
                <w:rFonts w:hint="eastAsia"/>
                <w:sz w:val="28"/>
                <w:szCs w:val="28"/>
                <w:vertAlign w:val="baseline"/>
                <w:lang w:val="en-US" w:eastAsia="zh-CN"/>
              </w:rPr>
              <w:t>年</w:t>
            </w:r>
            <w:bookmarkStart w:id="0" w:name="_GoBack"/>
            <w:bookmarkEnd w:id="0"/>
            <w:r>
              <w:rPr>
                <w:rFonts w:hint="eastAsia"/>
                <w:sz w:val="28"/>
                <w:szCs w:val="28"/>
                <w:vertAlign w:val="baseline"/>
                <w:lang w:val="en-US" w:eastAsia="zh-CN"/>
              </w:rPr>
              <w:t>合计</w:t>
            </w:r>
          </w:p>
        </w:tc>
        <w:tc>
          <w:tcPr>
            <w:tcW w:w="6254" w:type="dxa"/>
            <w:gridSpan w:val="5"/>
            <w:vAlign w:val="center"/>
          </w:tcPr>
          <w:p w14:paraId="112ADDF4">
            <w:pPr>
              <w:jc w:val="center"/>
              <w:rPr>
                <w:rFonts w:hint="default"/>
                <w:sz w:val="28"/>
                <w:szCs w:val="28"/>
                <w:vertAlign w:val="baseline"/>
                <w:lang w:val="en-US" w:eastAsia="zh-CN"/>
              </w:rPr>
            </w:pPr>
          </w:p>
        </w:tc>
      </w:tr>
    </w:tbl>
    <w:p w14:paraId="6E24CEAD">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现场联系人：吴老师13851056339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三年</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26400元/年。超过预算的报价为无效报价。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115408E1">
      <w:pPr>
        <w:rPr>
          <w:rFonts w:hint="eastAsia" w:ascii="黑体" w:eastAsia="黑体" w:cs="黑体"/>
          <w:color w:val="000000"/>
          <w:sz w:val="36"/>
          <w:szCs w:val="36"/>
          <w:lang w:val="en-US" w:eastAsia="zh-CN"/>
        </w:rPr>
      </w:pPr>
    </w:p>
    <w:p w14:paraId="2282EE2C">
      <w:pPr>
        <w:rPr>
          <w:rFonts w:hint="eastAsia" w:ascii="黑体" w:eastAsia="黑体" w:cs="黑体"/>
          <w:color w:val="000000"/>
          <w:sz w:val="36"/>
          <w:szCs w:val="36"/>
          <w:lang w:val="en-US" w:eastAsia="zh-CN"/>
        </w:rPr>
      </w:pPr>
    </w:p>
    <w:p w14:paraId="061DF50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黑体" w:eastAsia="黑体" w:cs="黑体"/>
          <w:color w:val="000000"/>
          <w:sz w:val="36"/>
          <w:szCs w:val="36"/>
          <w:lang w:val="en-US" w:eastAsia="zh-CN"/>
        </w:rPr>
      </w:pPr>
      <w:r>
        <w:rPr>
          <w:rFonts w:hint="eastAsia" w:ascii="黑体" w:eastAsia="黑体" w:cs="黑体"/>
          <w:color w:val="000000"/>
          <w:sz w:val="36"/>
          <w:szCs w:val="36"/>
          <w:lang w:val="en-US" w:eastAsia="zh-CN"/>
        </w:rPr>
        <w:t>年分项报价表</w:t>
      </w:r>
    </w:p>
    <w:tbl>
      <w:tblPr>
        <w:tblStyle w:val="10"/>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901"/>
        <w:gridCol w:w="1201"/>
        <w:gridCol w:w="988"/>
        <w:gridCol w:w="997"/>
        <w:gridCol w:w="1463"/>
        <w:gridCol w:w="1605"/>
      </w:tblGrid>
      <w:tr w14:paraId="2CE68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901" w:type="dxa"/>
            <w:vAlign w:val="center"/>
          </w:tcPr>
          <w:p w14:paraId="5CEFDB3C">
            <w:pPr>
              <w:jc w:val="center"/>
              <w:rPr>
                <w:rFonts w:hint="default"/>
                <w:sz w:val="28"/>
                <w:szCs w:val="28"/>
                <w:vertAlign w:val="baseline"/>
                <w:lang w:val="en-US" w:eastAsia="zh-CN"/>
              </w:rPr>
            </w:pPr>
            <w:r>
              <w:rPr>
                <w:rFonts w:hint="eastAsia"/>
                <w:sz w:val="28"/>
                <w:szCs w:val="28"/>
                <w:vertAlign w:val="baseline"/>
                <w:lang w:val="en-US" w:eastAsia="zh-CN"/>
              </w:rPr>
              <w:t>序号</w:t>
            </w:r>
          </w:p>
        </w:tc>
        <w:tc>
          <w:tcPr>
            <w:tcW w:w="1901" w:type="dxa"/>
            <w:vAlign w:val="center"/>
          </w:tcPr>
          <w:p w14:paraId="3C346704">
            <w:pPr>
              <w:jc w:val="center"/>
              <w:rPr>
                <w:rFonts w:hint="default"/>
                <w:sz w:val="28"/>
                <w:szCs w:val="28"/>
                <w:vertAlign w:val="baseline"/>
                <w:lang w:val="en-US" w:eastAsia="zh-CN"/>
              </w:rPr>
            </w:pPr>
            <w:r>
              <w:rPr>
                <w:rFonts w:hint="eastAsia"/>
                <w:sz w:val="28"/>
                <w:szCs w:val="28"/>
                <w:vertAlign w:val="baseline"/>
                <w:lang w:val="en-US" w:eastAsia="zh-CN"/>
              </w:rPr>
              <w:t>产品名称</w:t>
            </w:r>
          </w:p>
        </w:tc>
        <w:tc>
          <w:tcPr>
            <w:tcW w:w="1201" w:type="dxa"/>
            <w:vAlign w:val="center"/>
          </w:tcPr>
          <w:p w14:paraId="3A5BACC5">
            <w:pPr>
              <w:jc w:val="center"/>
              <w:rPr>
                <w:rFonts w:hint="default"/>
                <w:sz w:val="28"/>
                <w:szCs w:val="28"/>
                <w:vertAlign w:val="baseline"/>
                <w:lang w:val="en-US" w:eastAsia="zh-CN"/>
              </w:rPr>
            </w:pPr>
            <w:r>
              <w:rPr>
                <w:rFonts w:hint="eastAsia"/>
                <w:sz w:val="28"/>
                <w:szCs w:val="28"/>
                <w:vertAlign w:val="baseline"/>
                <w:lang w:val="en-US" w:eastAsia="zh-CN"/>
              </w:rPr>
              <w:t>规格</w:t>
            </w:r>
          </w:p>
        </w:tc>
        <w:tc>
          <w:tcPr>
            <w:tcW w:w="988" w:type="dxa"/>
            <w:vAlign w:val="center"/>
          </w:tcPr>
          <w:p w14:paraId="057E0B3C">
            <w:pPr>
              <w:jc w:val="center"/>
              <w:rPr>
                <w:rFonts w:hint="default"/>
                <w:sz w:val="28"/>
                <w:szCs w:val="28"/>
                <w:vertAlign w:val="baseline"/>
                <w:lang w:val="en-US" w:eastAsia="zh-CN"/>
              </w:rPr>
            </w:pPr>
            <w:r>
              <w:rPr>
                <w:rFonts w:hint="eastAsia"/>
                <w:sz w:val="28"/>
                <w:szCs w:val="28"/>
                <w:vertAlign w:val="baseline"/>
                <w:lang w:val="en-US" w:eastAsia="zh-CN"/>
              </w:rPr>
              <w:t>单位</w:t>
            </w:r>
          </w:p>
        </w:tc>
        <w:tc>
          <w:tcPr>
            <w:tcW w:w="997" w:type="dxa"/>
            <w:shd w:val="clear" w:color="auto" w:fill="auto"/>
            <w:vAlign w:val="center"/>
          </w:tcPr>
          <w:p w14:paraId="2C87B077">
            <w:pPr>
              <w:jc w:val="center"/>
              <w:rPr>
                <w:rFonts w:hint="default" w:ascii="Calibri" w:hAnsi="Calibri" w:eastAsia="宋体" w:cs="Times New Roman"/>
                <w:kern w:val="2"/>
                <w:sz w:val="24"/>
                <w:szCs w:val="24"/>
                <w:vertAlign w:val="baseline"/>
                <w:lang w:val="en-US" w:eastAsia="zh-CN" w:bidi="ar-SA"/>
              </w:rPr>
            </w:pPr>
            <w:r>
              <w:rPr>
                <w:rFonts w:hint="eastAsia"/>
                <w:sz w:val="24"/>
                <w:szCs w:val="24"/>
                <w:vertAlign w:val="baseline"/>
                <w:lang w:val="en-US" w:eastAsia="zh-CN"/>
              </w:rPr>
              <w:t>数量</w:t>
            </w:r>
          </w:p>
        </w:tc>
        <w:tc>
          <w:tcPr>
            <w:tcW w:w="1463" w:type="dxa"/>
            <w:vAlign w:val="center"/>
          </w:tcPr>
          <w:p w14:paraId="517F6653">
            <w:pPr>
              <w:jc w:val="center"/>
              <w:rPr>
                <w:rFonts w:hint="default"/>
                <w:sz w:val="24"/>
                <w:szCs w:val="24"/>
                <w:vertAlign w:val="baseline"/>
                <w:lang w:val="en-US" w:eastAsia="zh-CN"/>
              </w:rPr>
            </w:pPr>
            <w:r>
              <w:rPr>
                <w:rFonts w:hint="eastAsia"/>
                <w:sz w:val="24"/>
                <w:szCs w:val="24"/>
                <w:vertAlign w:val="baseline"/>
                <w:lang w:val="en-US" w:eastAsia="zh-CN"/>
              </w:rPr>
              <w:t>单价（元）</w:t>
            </w:r>
          </w:p>
        </w:tc>
        <w:tc>
          <w:tcPr>
            <w:tcW w:w="1605" w:type="dxa"/>
            <w:vAlign w:val="center"/>
          </w:tcPr>
          <w:p w14:paraId="5652398E">
            <w:pPr>
              <w:jc w:val="center"/>
              <w:rPr>
                <w:rFonts w:hint="default"/>
                <w:sz w:val="28"/>
                <w:szCs w:val="28"/>
                <w:vertAlign w:val="baseline"/>
                <w:lang w:val="en-US" w:eastAsia="zh-CN"/>
              </w:rPr>
            </w:pPr>
            <w:r>
              <w:rPr>
                <w:rFonts w:hint="eastAsia"/>
                <w:sz w:val="28"/>
                <w:szCs w:val="28"/>
                <w:vertAlign w:val="baseline"/>
                <w:lang w:val="en-US" w:eastAsia="zh-CN"/>
              </w:rPr>
              <w:t>小计（元）</w:t>
            </w:r>
          </w:p>
        </w:tc>
      </w:tr>
      <w:tr w14:paraId="358CD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13F38214">
            <w:pPr>
              <w:jc w:val="center"/>
              <w:rPr>
                <w:rFonts w:hint="default"/>
                <w:sz w:val="28"/>
                <w:szCs w:val="28"/>
                <w:vertAlign w:val="baseline"/>
                <w:lang w:val="en-US" w:eastAsia="zh-CN"/>
              </w:rPr>
            </w:pPr>
            <w:r>
              <w:rPr>
                <w:rFonts w:hint="eastAsia"/>
                <w:sz w:val="28"/>
                <w:szCs w:val="28"/>
                <w:vertAlign w:val="baseline"/>
                <w:lang w:val="en-US" w:eastAsia="zh-CN"/>
              </w:rPr>
              <w:t>1</w:t>
            </w:r>
          </w:p>
        </w:tc>
        <w:tc>
          <w:tcPr>
            <w:tcW w:w="1901" w:type="dxa"/>
            <w:vAlign w:val="center"/>
          </w:tcPr>
          <w:p w14:paraId="0DDB4EDE">
            <w:pPr>
              <w:jc w:val="center"/>
              <w:rPr>
                <w:rFonts w:hint="default"/>
                <w:sz w:val="28"/>
                <w:szCs w:val="28"/>
                <w:vertAlign w:val="baseline"/>
                <w:lang w:val="en-US" w:eastAsia="zh-CN"/>
              </w:rPr>
            </w:pPr>
            <w:r>
              <w:rPr>
                <w:rFonts w:hint="eastAsia"/>
                <w:sz w:val="28"/>
                <w:szCs w:val="28"/>
                <w:vertAlign w:val="baseline"/>
                <w:lang w:val="en-US" w:eastAsia="zh-CN"/>
              </w:rPr>
              <w:t>轿车蓄电池</w:t>
            </w:r>
          </w:p>
        </w:tc>
        <w:tc>
          <w:tcPr>
            <w:tcW w:w="1201" w:type="dxa"/>
            <w:vAlign w:val="center"/>
          </w:tcPr>
          <w:p w14:paraId="531EDF0D">
            <w:pPr>
              <w:jc w:val="center"/>
              <w:rPr>
                <w:rFonts w:hint="default"/>
                <w:sz w:val="28"/>
                <w:szCs w:val="28"/>
                <w:vertAlign w:val="baseline"/>
                <w:lang w:val="en-US" w:eastAsia="zh-CN"/>
              </w:rPr>
            </w:pPr>
            <w:r>
              <w:rPr>
                <w:rFonts w:hint="eastAsia"/>
                <w:sz w:val="28"/>
                <w:szCs w:val="28"/>
                <w:vertAlign w:val="baseline"/>
                <w:lang w:val="en-US" w:eastAsia="zh-CN"/>
              </w:rPr>
              <w:t>60AH</w:t>
            </w:r>
          </w:p>
        </w:tc>
        <w:tc>
          <w:tcPr>
            <w:tcW w:w="988" w:type="dxa"/>
            <w:vAlign w:val="center"/>
          </w:tcPr>
          <w:p w14:paraId="7B8D6DCA">
            <w:pPr>
              <w:jc w:val="center"/>
              <w:rPr>
                <w:rFonts w:hint="default"/>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326D3383">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50</w:t>
            </w:r>
          </w:p>
        </w:tc>
        <w:tc>
          <w:tcPr>
            <w:tcW w:w="1463" w:type="dxa"/>
            <w:vAlign w:val="center"/>
          </w:tcPr>
          <w:p w14:paraId="1569F4A0">
            <w:pPr>
              <w:jc w:val="center"/>
              <w:rPr>
                <w:rFonts w:hint="default"/>
                <w:sz w:val="28"/>
                <w:szCs w:val="28"/>
                <w:vertAlign w:val="baseline"/>
                <w:lang w:val="en-US" w:eastAsia="zh-CN"/>
              </w:rPr>
            </w:pPr>
          </w:p>
        </w:tc>
        <w:tc>
          <w:tcPr>
            <w:tcW w:w="1605" w:type="dxa"/>
            <w:vAlign w:val="center"/>
          </w:tcPr>
          <w:p w14:paraId="675FF88A">
            <w:pPr>
              <w:jc w:val="center"/>
              <w:rPr>
                <w:rFonts w:hint="default"/>
                <w:sz w:val="28"/>
                <w:szCs w:val="28"/>
                <w:vertAlign w:val="baseline"/>
                <w:lang w:val="en-US" w:eastAsia="zh-CN"/>
              </w:rPr>
            </w:pPr>
          </w:p>
        </w:tc>
      </w:tr>
      <w:tr w14:paraId="33517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56050EF6">
            <w:pPr>
              <w:jc w:val="center"/>
              <w:rPr>
                <w:rFonts w:hint="default"/>
                <w:sz w:val="28"/>
                <w:szCs w:val="28"/>
                <w:vertAlign w:val="baseline"/>
                <w:lang w:val="en-US" w:eastAsia="zh-CN"/>
              </w:rPr>
            </w:pPr>
            <w:r>
              <w:rPr>
                <w:rFonts w:hint="eastAsia"/>
                <w:sz w:val="28"/>
                <w:szCs w:val="28"/>
                <w:vertAlign w:val="baseline"/>
                <w:lang w:val="en-US" w:eastAsia="zh-CN"/>
              </w:rPr>
              <w:t>2</w:t>
            </w:r>
          </w:p>
        </w:tc>
        <w:tc>
          <w:tcPr>
            <w:tcW w:w="1901" w:type="dxa"/>
            <w:vAlign w:val="center"/>
          </w:tcPr>
          <w:p w14:paraId="018DD2DA">
            <w:pPr>
              <w:jc w:val="center"/>
              <w:rPr>
                <w:rFonts w:hint="default"/>
                <w:sz w:val="28"/>
                <w:szCs w:val="28"/>
                <w:vertAlign w:val="baseline"/>
                <w:lang w:val="en-US" w:eastAsia="zh-CN"/>
              </w:rPr>
            </w:pPr>
            <w:r>
              <w:rPr>
                <w:rFonts w:hint="eastAsia"/>
                <w:sz w:val="28"/>
                <w:szCs w:val="28"/>
                <w:vertAlign w:val="baseline"/>
                <w:lang w:val="en-US" w:eastAsia="zh-CN"/>
              </w:rPr>
              <w:t>货车蓄电池</w:t>
            </w:r>
          </w:p>
        </w:tc>
        <w:tc>
          <w:tcPr>
            <w:tcW w:w="1201" w:type="dxa"/>
            <w:vAlign w:val="center"/>
          </w:tcPr>
          <w:p w14:paraId="7749C298">
            <w:pPr>
              <w:jc w:val="center"/>
              <w:rPr>
                <w:rFonts w:hint="default"/>
                <w:sz w:val="28"/>
                <w:szCs w:val="28"/>
                <w:vertAlign w:val="baseline"/>
                <w:lang w:val="en-US" w:eastAsia="zh-CN"/>
              </w:rPr>
            </w:pPr>
            <w:r>
              <w:rPr>
                <w:rFonts w:hint="eastAsia"/>
                <w:sz w:val="28"/>
                <w:szCs w:val="28"/>
                <w:vertAlign w:val="baseline"/>
                <w:lang w:val="en-US" w:eastAsia="zh-CN"/>
              </w:rPr>
              <w:t>150AH</w:t>
            </w:r>
          </w:p>
        </w:tc>
        <w:tc>
          <w:tcPr>
            <w:tcW w:w="988" w:type="dxa"/>
            <w:vAlign w:val="center"/>
          </w:tcPr>
          <w:p w14:paraId="09E1C32B">
            <w:pPr>
              <w:jc w:val="center"/>
              <w:rPr>
                <w:rFonts w:hint="default"/>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3B51B8D4">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6</w:t>
            </w:r>
          </w:p>
        </w:tc>
        <w:tc>
          <w:tcPr>
            <w:tcW w:w="1463" w:type="dxa"/>
            <w:vAlign w:val="center"/>
          </w:tcPr>
          <w:p w14:paraId="17A5C4D6">
            <w:pPr>
              <w:jc w:val="center"/>
              <w:rPr>
                <w:rFonts w:hint="default"/>
                <w:sz w:val="28"/>
                <w:szCs w:val="28"/>
                <w:vertAlign w:val="baseline"/>
                <w:lang w:val="en-US" w:eastAsia="zh-CN"/>
              </w:rPr>
            </w:pPr>
          </w:p>
        </w:tc>
        <w:tc>
          <w:tcPr>
            <w:tcW w:w="1605" w:type="dxa"/>
            <w:vAlign w:val="center"/>
          </w:tcPr>
          <w:p w14:paraId="734507F5">
            <w:pPr>
              <w:jc w:val="center"/>
              <w:rPr>
                <w:rFonts w:hint="default"/>
                <w:sz w:val="28"/>
                <w:szCs w:val="28"/>
                <w:vertAlign w:val="baseline"/>
                <w:lang w:val="en-US" w:eastAsia="zh-CN"/>
              </w:rPr>
            </w:pPr>
          </w:p>
        </w:tc>
      </w:tr>
      <w:tr w14:paraId="69293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2670EA4D">
            <w:pPr>
              <w:jc w:val="center"/>
              <w:rPr>
                <w:rFonts w:hint="default"/>
                <w:sz w:val="28"/>
                <w:szCs w:val="28"/>
                <w:vertAlign w:val="baseline"/>
                <w:lang w:val="en-US" w:eastAsia="zh-CN"/>
              </w:rPr>
            </w:pPr>
            <w:r>
              <w:rPr>
                <w:rFonts w:hint="eastAsia"/>
                <w:sz w:val="28"/>
                <w:szCs w:val="28"/>
                <w:vertAlign w:val="baseline"/>
                <w:lang w:val="en-US" w:eastAsia="zh-CN"/>
              </w:rPr>
              <w:t>3</w:t>
            </w:r>
          </w:p>
        </w:tc>
        <w:tc>
          <w:tcPr>
            <w:tcW w:w="1901" w:type="dxa"/>
            <w:vAlign w:val="center"/>
          </w:tcPr>
          <w:p w14:paraId="1CB9CE18">
            <w:pPr>
              <w:jc w:val="center"/>
              <w:rPr>
                <w:rFonts w:hint="default"/>
                <w:sz w:val="28"/>
                <w:szCs w:val="28"/>
                <w:vertAlign w:val="baseline"/>
                <w:lang w:val="en-US" w:eastAsia="zh-CN"/>
              </w:rPr>
            </w:pPr>
            <w:r>
              <w:rPr>
                <w:rFonts w:hint="eastAsia"/>
                <w:sz w:val="28"/>
                <w:szCs w:val="28"/>
                <w:vertAlign w:val="baseline"/>
                <w:lang w:val="en-US" w:eastAsia="zh-CN"/>
              </w:rPr>
              <w:t>客车蓄电池</w:t>
            </w:r>
          </w:p>
        </w:tc>
        <w:tc>
          <w:tcPr>
            <w:tcW w:w="1201" w:type="dxa"/>
            <w:vAlign w:val="center"/>
          </w:tcPr>
          <w:p w14:paraId="076B189E">
            <w:pPr>
              <w:jc w:val="center"/>
              <w:rPr>
                <w:rFonts w:hint="eastAsia"/>
                <w:sz w:val="28"/>
                <w:szCs w:val="28"/>
                <w:vertAlign w:val="baseline"/>
                <w:lang w:val="en-US" w:eastAsia="zh-CN"/>
              </w:rPr>
            </w:pPr>
            <w:r>
              <w:rPr>
                <w:rFonts w:hint="eastAsia"/>
                <w:sz w:val="28"/>
                <w:szCs w:val="28"/>
                <w:vertAlign w:val="baseline"/>
                <w:lang w:val="en-US" w:eastAsia="zh-CN"/>
              </w:rPr>
              <w:t>200AH</w:t>
            </w:r>
          </w:p>
        </w:tc>
        <w:tc>
          <w:tcPr>
            <w:tcW w:w="988" w:type="dxa"/>
            <w:vAlign w:val="center"/>
          </w:tcPr>
          <w:p w14:paraId="4E731282">
            <w:pPr>
              <w:jc w:val="center"/>
              <w:rPr>
                <w:rFonts w:hint="eastAsia"/>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6AA2ED33">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2</w:t>
            </w:r>
          </w:p>
        </w:tc>
        <w:tc>
          <w:tcPr>
            <w:tcW w:w="1463" w:type="dxa"/>
            <w:vAlign w:val="center"/>
          </w:tcPr>
          <w:p w14:paraId="2223C20F">
            <w:pPr>
              <w:jc w:val="center"/>
              <w:rPr>
                <w:rFonts w:hint="default"/>
                <w:sz w:val="28"/>
                <w:szCs w:val="28"/>
                <w:vertAlign w:val="baseline"/>
                <w:lang w:val="en-US" w:eastAsia="zh-CN"/>
              </w:rPr>
            </w:pPr>
          </w:p>
        </w:tc>
        <w:tc>
          <w:tcPr>
            <w:tcW w:w="1605" w:type="dxa"/>
            <w:vAlign w:val="center"/>
          </w:tcPr>
          <w:p w14:paraId="3938F207">
            <w:pPr>
              <w:jc w:val="center"/>
              <w:rPr>
                <w:rFonts w:hint="default"/>
                <w:sz w:val="28"/>
                <w:szCs w:val="28"/>
                <w:vertAlign w:val="baseline"/>
                <w:lang w:val="en-US" w:eastAsia="zh-CN"/>
              </w:rPr>
            </w:pPr>
          </w:p>
        </w:tc>
      </w:tr>
      <w:tr w14:paraId="7D737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802" w:type="dxa"/>
            <w:gridSpan w:val="2"/>
            <w:vAlign w:val="center"/>
          </w:tcPr>
          <w:p w14:paraId="2F45C99D">
            <w:pPr>
              <w:tabs>
                <w:tab w:val="left" w:pos="5115"/>
              </w:tabs>
              <w:jc w:val="center"/>
              <w:rPr>
                <w:rFonts w:hint="default"/>
                <w:sz w:val="28"/>
                <w:szCs w:val="28"/>
                <w:vertAlign w:val="baseline"/>
                <w:lang w:val="en-US" w:eastAsia="zh-CN"/>
              </w:rPr>
            </w:pPr>
            <w:r>
              <w:rPr>
                <w:rFonts w:hint="eastAsia"/>
                <w:sz w:val="28"/>
                <w:szCs w:val="28"/>
                <w:vertAlign w:val="baseline"/>
                <w:lang w:val="en-US" w:eastAsia="zh-CN"/>
              </w:rPr>
              <w:t>年合计</w:t>
            </w:r>
          </w:p>
        </w:tc>
        <w:tc>
          <w:tcPr>
            <w:tcW w:w="6254" w:type="dxa"/>
            <w:gridSpan w:val="5"/>
            <w:vAlign w:val="center"/>
          </w:tcPr>
          <w:p w14:paraId="26C4C22C">
            <w:pPr>
              <w:jc w:val="center"/>
              <w:rPr>
                <w:rFonts w:hint="default"/>
                <w:sz w:val="28"/>
                <w:szCs w:val="28"/>
                <w:vertAlign w:val="baseline"/>
                <w:lang w:val="en-US" w:eastAsia="zh-CN"/>
              </w:rPr>
            </w:pPr>
          </w:p>
        </w:tc>
      </w:tr>
    </w:tbl>
    <w:p w14:paraId="32F1F42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2C7867B9">
      <w:pPr>
        <w:jc w:val="center"/>
        <w:rPr>
          <w:rFonts w:hint="eastAsia" w:ascii="黑体" w:eastAsia="黑体" w:cs="黑体"/>
          <w:color w:val="000000"/>
          <w:sz w:val="44"/>
          <w:szCs w:val="44"/>
          <w:lang w:eastAsia="zh-CN"/>
        </w:rPr>
      </w:pPr>
    </w:p>
    <w:p w14:paraId="42B6C8EB">
      <w:pPr>
        <w:jc w:val="center"/>
        <w:rPr>
          <w:rFonts w:hint="eastAsia" w:ascii="黑体" w:eastAsia="黑体" w:cs="黑体"/>
          <w:color w:val="000000"/>
          <w:sz w:val="44"/>
          <w:szCs w:val="44"/>
          <w:lang w:eastAsia="zh-CN"/>
        </w:rPr>
      </w:pPr>
    </w:p>
    <w:p w14:paraId="0673F8DE">
      <w:pPr>
        <w:jc w:val="center"/>
        <w:rPr>
          <w:rFonts w:hint="eastAsia" w:ascii="黑体" w:eastAsia="黑体" w:cs="黑体"/>
          <w:color w:val="000000"/>
          <w:sz w:val="44"/>
          <w:szCs w:val="44"/>
          <w:lang w:eastAsia="zh-CN"/>
        </w:rPr>
      </w:pPr>
    </w:p>
    <w:p w14:paraId="2745C115">
      <w:pPr>
        <w:jc w:val="center"/>
        <w:rPr>
          <w:rFonts w:hint="eastAsia" w:ascii="黑体" w:eastAsia="黑体" w:cs="黑体"/>
          <w:color w:val="000000"/>
          <w:sz w:val="44"/>
          <w:szCs w:val="44"/>
          <w:lang w:eastAsia="zh-CN"/>
        </w:rPr>
      </w:pPr>
    </w:p>
    <w:p w14:paraId="5F3124DD">
      <w:pPr>
        <w:jc w:val="center"/>
        <w:rPr>
          <w:rFonts w:hint="eastAsia" w:ascii="黑体" w:eastAsia="黑体" w:cs="黑体"/>
          <w:color w:val="000000"/>
          <w:sz w:val="44"/>
          <w:szCs w:val="44"/>
          <w:lang w:eastAsia="zh-CN"/>
        </w:rPr>
      </w:pPr>
    </w:p>
    <w:p w14:paraId="449DBA8A">
      <w:pPr>
        <w:jc w:val="center"/>
        <w:rPr>
          <w:rFonts w:hint="eastAsia" w:ascii="黑体" w:eastAsia="黑体" w:cs="黑体"/>
          <w:color w:val="000000"/>
          <w:sz w:val="44"/>
          <w:szCs w:val="44"/>
          <w:lang w:eastAsia="zh-CN"/>
        </w:rPr>
      </w:pPr>
    </w:p>
    <w:p w14:paraId="3858B44D">
      <w:pPr>
        <w:jc w:val="center"/>
        <w:rPr>
          <w:rFonts w:hint="eastAsia" w:ascii="黑体" w:eastAsia="黑体" w:cs="黑体"/>
          <w:color w:val="000000"/>
          <w:sz w:val="44"/>
          <w:szCs w:val="44"/>
          <w:lang w:eastAsia="zh-CN"/>
        </w:rPr>
      </w:pPr>
    </w:p>
    <w:p w14:paraId="4C9096EC">
      <w:pPr>
        <w:jc w:val="center"/>
        <w:rPr>
          <w:rFonts w:hint="eastAsia" w:ascii="黑体" w:eastAsia="黑体" w:cs="黑体"/>
          <w:color w:val="000000"/>
          <w:sz w:val="44"/>
          <w:szCs w:val="44"/>
          <w:lang w:eastAsia="zh-CN"/>
        </w:rPr>
      </w:pPr>
    </w:p>
    <w:p w14:paraId="7058F40D">
      <w:pPr>
        <w:jc w:val="center"/>
        <w:rPr>
          <w:rFonts w:hint="eastAsia" w:ascii="黑体" w:eastAsia="黑体" w:cs="黑体"/>
          <w:color w:val="000000"/>
          <w:sz w:val="44"/>
          <w:szCs w:val="44"/>
          <w:lang w:eastAsia="zh-CN"/>
        </w:rPr>
      </w:pPr>
    </w:p>
    <w:p w14:paraId="1CEDF2D4">
      <w:pPr>
        <w:jc w:val="center"/>
        <w:rPr>
          <w:rFonts w:hint="eastAsia" w:ascii="黑体" w:eastAsia="黑体" w:cs="黑体"/>
          <w:color w:val="000000"/>
          <w:sz w:val="44"/>
          <w:szCs w:val="44"/>
          <w:lang w:eastAsia="zh-CN"/>
        </w:rPr>
      </w:pPr>
    </w:p>
    <w:p w14:paraId="56E2DC27">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745"/>
        <w:gridCol w:w="4053"/>
        <w:gridCol w:w="1267"/>
        <w:gridCol w:w="891"/>
      </w:tblGrid>
      <w:tr w14:paraId="325B325F">
        <w:tblPrEx>
          <w:tblCellMar>
            <w:top w:w="0" w:type="dxa"/>
            <w:left w:w="108" w:type="dxa"/>
            <w:bottom w:w="0" w:type="dxa"/>
            <w:right w:w="108" w:type="dxa"/>
          </w:tblCellMar>
        </w:tblPrEx>
        <w:trPr>
          <w:trHeight w:val="1184" w:hRule="atLeast"/>
          <w:jc w:val="center"/>
        </w:trPr>
        <w:tc>
          <w:tcPr>
            <w:tcW w:w="27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405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89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745"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XJ2025161 驾培公司车辆蓄电池供应商遴选采购项目</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405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大写：                元</w:t>
            </w:r>
            <w:r>
              <w:rPr>
                <w:rFonts w:hint="eastAsia" w:ascii="仿宋_GB2312" w:hAnsi="仿宋_GB2312" w:eastAsia="仿宋_GB2312" w:cs="仿宋_GB2312"/>
                <w:sz w:val="28"/>
                <w:szCs w:val="28"/>
                <w:lang w:val="en-US" w:eastAsia="zh-CN"/>
              </w:rPr>
              <w:t>/年</w:t>
            </w:r>
          </w:p>
        </w:tc>
        <w:tc>
          <w:tcPr>
            <w:tcW w:w="1267" w:type="dxa"/>
            <w:vMerge w:val="restart"/>
            <w:tcBorders>
              <w:top w:val="single" w:color="000000" w:sz="4" w:space="0"/>
              <w:left w:val="single" w:color="000000" w:sz="4" w:space="0"/>
              <w:right w:val="single" w:color="000000" w:sz="4" w:space="0"/>
            </w:tcBorders>
            <w:noWrap w:val="0"/>
            <w:vAlign w:val="center"/>
          </w:tcPr>
          <w:p w14:paraId="3E3565C7">
            <w:pPr>
              <w:jc w:val="center"/>
              <w:rPr>
                <w:rFonts w:hint="eastAsia" w:ascii="仿宋_GB2312" w:hAnsi="仿宋_GB2312" w:eastAsia="仿宋_GB2312" w:cs="仿宋_GB2312"/>
                <w:sz w:val="28"/>
                <w:szCs w:val="28"/>
              </w:rPr>
            </w:pPr>
          </w:p>
        </w:tc>
        <w:tc>
          <w:tcPr>
            <w:tcW w:w="891"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745"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405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元</w:t>
            </w:r>
            <w:r>
              <w:rPr>
                <w:rFonts w:hint="eastAsia" w:ascii="仿宋_GB2312" w:hAnsi="仿宋_GB2312" w:eastAsia="仿宋_GB2312" w:cs="仿宋_GB2312"/>
                <w:sz w:val="28"/>
                <w:szCs w:val="28"/>
                <w:lang w:val="en-US" w:eastAsia="zh-CN"/>
              </w:rPr>
              <w:t>/年</w:t>
            </w:r>
          </w:p>
        </w:tc>
        <w:tc>
          <w:tcPr>
            <w:tcW w:w="1267"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891"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我方在贵校组织的驾培公司车辆蓄电池供应商遴选采购项目</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161</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7196581"/>
    <w:rsid w:val="07735B9E"/>
    <w:rsid w:val="081E239E"/>
    <w:rsid w:val="08BD6F17"/>
    <w:rsid w:val="0AF745A0"/>
    <w:rsid w:val="0C54536A"/>
    <w:rsid w:val="124F29AD"/>
    <w:rsid w:val="12D45778"/>
    <w:rsid w:val="149F2F81"/>
    <w:rsid w:val="16AE2D51"/>
    <w:rsid w:val="1D8957C5"/>
    <w:rsid w:val="22F74776"/>
    <w:rsid w:val="247634C5"/>
    <w:rsid w:val="25B429F1"/>
    <w:rsid w:val="29215311"/>
    <w:rsid w:val="297178A3"/>
    <w:rsid w:val="2B6C5405"/>
    <w:rsid w:val="2C687786"/>
    <w:rsid w:val="2C8F646D"/>
    <w:rsid w:val="34595660"/>
    <w:rsid w:val="361B29EC"/>
    <w:rsid w:val="382330F9"/>
    <w:rsid w:val="3BE072D6"/>
    <w:rsid w:val="3E1B58A0"/>
    <w:rsid w:val="402C6F40"/>
    <w:rsid w:val="47893ACF"/>
    <w:rsid w:val="489B717A"/>
    <w:rsid w:val="50893782"/>
    <w:rsid w:val="509B4E18"/>
    <w:rsid w:val="50E41479"/>
    <w:rsid w:val="51BC0756"/>
    <w:rsid w:val="54E13CEC"/>
    <w:rsid w:val="59276E10"/>
    <w:rsid w:val="5B053D78"/>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2548</Words>
  <Characters>2752</Characters>
  <Lines>0</Lines>
  <Paragraphs>0</Paragraphs>
  <TotalTime>2</TotalTime>
  <ScaleCrop>false</ScaleCrop>
  <LinksUpToDate>false</LinksUpToDate>
  <CharactersWithSpaces>3670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2025-09-25T09:21:00Z</cp:lastPrinted>
  <dcterms:modified xsi:type="dcterms:W3CDTF">2025-09-26T06:51:11Z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