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36A818">
      <w:pPr>
        <w:keepNext w:val="0"/>
        <w:keepLines w:val="0"/>
        <w:widowControl/>
        <w:suppressLineNumbers w:val="0"/>
        <w:jc w:val="center"/>
        <w:textAlignment w:val="center"/>
        <w:rPr>
          <w:rFonts w:hint="default" w:ascii="黑体" w:hAnsi="宋体" w:eastAsia="黑体" w:cs="黑体"/>
          <w:b/>
          <w:bCs/>
          <w:i w:val="0"/>
          <w:iCs w:val="0"/>
          <w:color w:val="000000"/>
          <w:kern w:val="0"/>
          <w:sz w:val="28"/>
          <w:szCs w:val="28"/>
          <w:u w:val="none"/>
          <w:lang w:val="en-US" w:eastAsia="zh-CN" w:bidi="ar"/>
        </w:rPr>
      </w:pPr>
      <w:r>
        <w:rPr>
          <w:rFonts w:hint="eastAsia" w:ascii="黑体" w:hAnsi="黑体" w:eastAsia="黑体" w:cs="黑体"/>
          <w:b/>
          <w:bCs/>
          <w:spacing w:val="-8"/>
          <w:sz w:val="29"/>
          <w:szCs w:val="29"/>
          <w:lang w:val="en-US" w:eastAsia="zh-CN"/>
        </w:rPr>
        <w:t>校园网络安全管理系统升级采购</w:t>
      </w:r>
      <w:bookmarkStart w:id="0" w:name="_GoBack"/>
      <w:bookmarkEnd w:id="0"/>
      <w:r>
        <w:rPr>
          <w:rFonts w:ascii="黑体" w:hAnsi="黑体" w:eastAsia="黑体" w:cs="黑体"/>
          <w:b/>
          <w:bCs/>
          <w:spacing w:val="-8"/>
          <w:sz w:val="29"/>
          <w:szCs w:val="29"/>
        </w:rPr>
        <w:t>需求</w:t>
      </w:r>
    </w:p>
    <w:p w14:paraId="324DD374">
      <w:pPr>
        <w:keepNext w:val="0"/>
        <w:keepLines w:val="0"/>
        <w:widowControl/>
        <w:suppressLineNumbers w:val="0"/>
        <w:jc w:val="center"/>
        <w:textAlignment w:val="center"/>
        <w:rPr>
          <w:rFonts w:hint="eastAsia" w:ascii="黑体" w:hAnsi="宋体" w:eastAsia="黑体" w:cs="黑体"/>
          <w:b/>
          <w:bCs/>
          <w:i w:val="0"/>
          <w:iCs w:val="0"/>
          <w:color w:val="000000"/>
          <w:kern w:val="0"/>
          <w:sz w:val="22"/>
          <w:szCs w:val="22"/>
          <w:u w:val="none"/>
          <w:lang w:val="en-US" w:eastAsia="zh-CN" w:bidi="ar"/>
        </w:rPr>
      </w:pPr>
    </w:p>
    <w:p w14:paraId="24785BB1">
      <w:pPr>
        <w:spacing w:line="500" w:lineRule="exact"/>
        <w:rPr>
          <w:rFonts w:hint="default" w:ascii="宋体" w:hAnsi="宋体" w:eastAsia="宋体" w:cs="宋体"/>
          <w:b/>
          <w:sz w:val="24"/>
          <w:lang w:val="en-US" w:eastAsia="zh-CN"/>
        </w:rPr>
      </w:pPr>
      <w:r>
        <w:rPr>
          <w:rFonts w:hint="eastAsia" w:ascii="宋体" w:hAnsi="宋体" w:cs="宋体"/>
          <w:b/>
          <w:sz w:val="24"/>
        </w:rPr>
        <w:t>一、</w:t>
      </w:r>
      <w:r>
        <w:rPr>
          <w:rFonts w:hint="eastAsia" w:ascii="宋体" w:hAnsi="宋体" w:cs="宋体"/>
          <w:b/>
          <w:sz w:val="24"/>
          <w:lang w:val="en-US" w:eastAsia="zh-CN"/>
        </w:rPr>
        <w:t>项目说明</w:t>
      </w:r>
    </w:p>
    <w:p w14:paraId="42512662">
      <w:pPr>
        <w:keepNext w:val="0"/>
        <w:keepLines w:val="0"/>
        <w:pageBreakBefore w:val="0"/>
        <w:widowControl/>
        <w:kinsoku/>
        <w:wordWrap/>
        <w:overflowPunct/>
        <w:topLinePunct w:val="0"/>
        <w:autoSpaceDE/>
        <w:autoSpaceDN/>
        <w:bidi w:val="0"/>
        <w:adjustRightInd/>
        <w:snapToGrid/>
        <w:spacing w:line="240" w:lineRule="auto"/>
        <w:ind w:firstLine="480" w:firstLineChars="200"/>
        <w:contextualSpacing/>
        <w:jc w:val="left"/>
        <w:textAlignment w:val="auto"/>
        <w:rPr>
          <w:rFonts w:hint="eastAsia" w:ascii="宋体" w:hAnsi="宋体" w:cs="宋体"/>
          <w:bCs/>
          <w:sz w:val="24"/>
          <w:szCs w:val="21"/>
          <w:lang w:val="en-US" w:eastAsia="zh-CN"/>
        </w:rPr>
      </w:pPr>
      <w:r>
        <w:rPr>
          <w:rFonts w:hint="eastAsia" w:ascii="宋体" w:hAnsi="宋体" w:cs="宋体"/>
          <w:bCs/>
          <w:sz w:val="24"/>
          <w:szCs w:val="21"/>
          <w:lang w:val="en-US" w:eastAsia="zh-CN"/>
        </w:rPr>
        <w:t>1、学校现有网络安全管理平台：天融信下一代防火墙（型号：NGFW4000-UF）、天融信行为管理（型号：ACM-53630）、深信服态势感知（含探针，版本：V3.0.73）、深信服IPS（版本：8.0.95）。</w:t>
      </w:r>
    </w:p>
    <w:p w14:paraId="5C42B21B">
      <w:pPr>
        <w:keepNext w:val="0"/>
        <w:keepLines w:val="0"/>
        <w:pageBreakBefore w:val="0"/>
        <w:widowControl/>
        <w:kinsoku/>
        <w:wordWrap/>
        <w:overflowPunct/>
        <w:topLinePunct w:val="0"/>
        <w:autoSpaceDE/>
        <w:autoSpaceDN/>
        <w:bidi w:val="0"/>
        <w:adjustRightInd/>
        <w:snapToGrid/>
        <w:spacing w:line="240" w:lineRule="auto"/>
        <w:ind w:firstLine="480" w:firstLineChars="200"/>
        <w:contextualSpacing/>
        <w:jc w:val="left"/>
        <w:textAlignment w:val="auto"/>
        <w:rPr>
          <w:rFonts w:hint="eastAsia" w:ascii="宋体" w:hAnsi="宋体" w:cs="宋体"/>
          <w:bCs/>
          <w:sz w:val="24"/>
          <w:szCs w:val="21"/>
          <w:lang w:val="en-US" w:eastAsia="zh-CN"/>
        </w:rPr>
      </w:pPr>
      <w:r>
        <w:rPr>
          <w:rFonts w:hint="eastAsia" w:ascii="宋体" w:hAnsi="宋体" w:cs="宋体"/>
          <w:bCs/>
          <w:sz w:val="24"/>
          <w:szCs w:val="21"/>
          <w:lang w:val="en-US" w:eastAsia="zh-CN"/>
        </w:rPr>
        <w:t>2、天融信下一代防火墙、天融信行为管理、深信服IPS部署方式为串联；深信服态势感知、探针部署方式为旁路。</w:t>
      </w:r>
    </w:p>
    <w:p w14:paraId="6EFB6214">
      <w:pPr>
        <w:keepNext w:val="0"/>
        <w:keepLines w:val="0"/>
        <w:pageBreakBefore w:val="0"/>
        <w:widowControl/>
        <w:kinsoku/>
        <w:wordWrap/>
        <w:overflowPunct/>
        <w:topLinePunct w:val="0"/>
        <w:autoSpaceDE/>
        <w:autoSpaceDN/>
        <w:bidi w:val="0"/>
        <w:adjustRightInd/>
        <w:snapToGrid/>
        <w:spacing w:line="240" w:lineRule="auto"/>
        <w:ind w:firstLine="480" w:firstLineChars="200"/>
        <w:contextualSpacing/>
        <w:jc w:val="left"/>
        <w:textAlignment w:val="auto"/>
        <w:rPr>
          <w:rFonts w:hint="eastAsia" w:ascii="宋体" w:hAnsi="宋体" w:cs="宋体"/>
          <w:bCs/>
          <w:sz w:val="24"/>
          <w:szCs w:val="21"/>
          <w:lang w:val="en-US" w:eastAsia="zh-CN"/>
        </w:rPr>
      </w:pPr>
      <w:r>
        <w:rPr>
          <w:rFonts w:hint="eastAsia" w:ascii="宋体" w:hAnsi="宋体" w:cs="宋体"/>
          <w:bCs/>
          <w:sz w:val="24"/>
          <w:szCs w:val="21"/>
          <w:lang w:val="en-US" w:eastAsia="zh-CN"/>
        </w:rPr>
        <w:t>3、现有新华三iMC网络管理平台。</w:t>
      </w:r>
    </w:p>
    <w:p w14:paraId="0DC4F575">
      <w:pPr>
        <w:keepNext w:val="0"/>
        <w:keepLines w:val="0"/>
        <w:pageBreakBefore w:val="0"/>
        <w:widowControl/>
        <w:kinsoku/>
        <w:wordWrap/>
        <w:overflowPunct/>
        <w:topLinePunct w:val="0"/>
        <w:autoSpaceDE/>
        <w:autoSpaceDN/>
        <w:bidi w:val="0"/>
        <w:adjustRightInd/>
        <w:snapToGrid/>
        <w:spacing w:line="240" w:lineRule="auto"/>
        <w:ind w:firstLine="480" w:firstLineChars="200"/>
        <w:contextualSpacing/>
        <w:jc w:val="left"/>
        <w:textAlignment w:val="auto"/>
        <w:rPr>
          <w:rFonts w:hint="eastAsia" w:ascii="宋体" w:hAnsi="宋体" w:cs="宋体"/>
          <w:bCs/>
          <w:sz w:val="24"/>
          <w:szCs w:val="21"/>
          <w:lang w:val="en-US" w:eastAsia="zh-CN"/>
        </w:rPr>
      </w:pPr>
      <w:r>
        <w:rPr>
          <w:rFonts w:hint="eastAsia" w:ascii="宋体" w:hAnsi="宋体" w:cs="宋体"/>
          <w:bCs/>
          <w:sz w:val="24"/>
          <w:szCs w:val="21"/>
          <w:lang w:val="en-US" w:eastAsia="zh-CN"/>
        </w:rPr>
        <w:t>4、现有无线控制器品牌分别有：新华三AC、信锐AC。</w:t>
      </w:r>
    </w:p>
    <w:p w14:paraId="40882194">
      <w:pPr>
        <w:spacing w:line="500" w:lineRule="exact"/>
        <w:rPr>
          <w:rFonts w:hint="eastAsia"/>
          <w:lang w:val="en-US" w:eastAsia="zh-CN"/>
        </w:rPr>
      </w:pPr>
      <w:r>
        <w:rPr>
          <w:rFonts w:hint="eastAsia" w:ascii="宋体" w:hAnsi="宋体" w:cs="宋体"/>
          <w:b/>
          <w:sz w:val="24"/>
          <w:lang w:val="en-US" w:eastAsia="zh-CN"/>
        </w:rPr>
        <w:t>二</w:t>
      </w:r>
      <w:r>
        <w:rPr>
          <w:rFonts w:hint="eastAsia" w:ascii="宋体" w:hAnsi="宋体" w:cs="宋体"/>
          <w:b/>
          <w:sz w:val="24"/>
        </w:rPr>
        <w:t>、</w:t>
      </w:r>
      <w:r>
        <w:rPr>
          <w:rFonts w:hint="eastAsia" w:ascii="宋体" w:hAnsi="宋体" w:cs="宋体"/>
          <w:b/>
          <w:sz w:val="24"/>
          <w:lang w:val="en-US" w:eastAsia="zh-CN"/>
        </w:rPr>
        <w:t>采购需求</w:t>
      </w:r>
    </w:p>
    <w:tbl>
      <w:tblPr>
        <w:tblStyle w:val="9"/>
        <w:tblW w:w="1393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1"/>
        <w:gridCol w:w="1200"/>
        <w:gridCol w:w="8429"/>
        <w:gridCol w:w="709"/>
        <w:gridCol w:w="686"/>
        <w:gridCol w:w="1177"/>
        <w:gridCol w:w="1035"/>
      </w:tblGrid>
      <w:tr w14:paraId="204EA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70343">
            <w:pPr>
              <w:keepNext w:val="0"/>
              <w:keepLines w:val="0"/>
              <w:widowControl/>
              <w:suppressLineNumbers w:val="0"/>
              <w:jc w:val="center"/>
              <w:textAlignment w:val="center"/>
              <w:rPr>
                <w:rFonts w:ascii="黑体" w:hAnsi="宋体" w:eastAsia="黑体" w:cs="黑体"/>
                <w:b/>
                <w:bCs/>
                <w:i w:val="0"/>
                <w:iCs w:val="0"/>
                <w:color w:val="auto"/>
                <w:sz w:val="22"/>
                <w:szCs w:val="22"/>
                <w:u w:val="none"/>
              </w:rPr>
            </w:pPr>
            <w:r>
              <w:rPr>
                <w:rFonts w:hint="eastAsia" w:ascii="黑体" w:hAnsi="宋体" w:eastAsia="黑体" w:cs="黑体"/>
                <w:b/>
                <w:bCs/>
                <w:i w:val="0"/>
                <w:iCs w:val="0"/>
                <w:color w:val="auto"/>
                <w:kern w:val="0"/>
                <w:sz w:val="22"/>
                <w:szCs w:val="22"/>
                <w:u w:val="none"/>
                <w:lang w:val="en-US" w:eastAsia="zh-CN" w:bidi="ar"/>
              </w:rPr>
              <w:t>序号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FAB3A">
            <w:pPr>
              <w:keepNext w:val="0"/>
              <w:keepLines w:val="0"/>
              <w:widowControl/>
              <w:suppressLineNumbers w:val="0"/>
              <w:jc w:val="center"/>
              <w:textAlignment w:val="center"/>
              <w:rPr>
                <w:rFonts w:hint="eastAsia" w:ascii="黑体" w:hAnsi="宋体" w:eastAsia="黑体" w:cs="黑体"/>
                <w:b/>
                <w:bCs/>
                <w:i w:val="0"/>
                <w:iCs w:val="0"/>
                <w:color w:val="auto"/>
                <w:sz w:val="22"/>
                <w:szCs w:val="22"/>
                <w:u w:val="none"/>
              </w:rPr>
            </w:pPr>
            <w:r>
              <w:rPr>
                <w:rFonts w:hint="eastAsia" w:ascii="黑体" w:hAnsi="宋体" w:eastAsia="黑体" w:cs="黑体"/>
                <w:b/>
                <w:bCs/>
                <w:i w:val="0"/>
                <w:iCs w:val="0"/>
                <w:color w:val="auto"/>
                <w:kern w:val="0"/>
                <w:sz w:val="22"/>
                <w:szCs w:val="22"/>
                <w:u w:val="none"/>
                <w:lang w:val="en-US" w:eastAsia="zh-CN" w:bidi="ar"/>
              </w:rPr>
              <w:t>产品名称</w:t>
            </w:r>
          </w:p>
        </w:tc>
        <w:tc>
          <w:tcPr>
            <w:tcW w:w="84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34D45">
            <w:pPr>
              <w:keepNext w:val="0"/>
              <w:keepLines w:val="0"/>
              <w:widowControl/>
              <w:suppressLineNumbers w:val="0"/>
              <w:jc w:val="center"/>
              <w:textAlignment w:val="center"/>
              <w:rPr>
                <w:rFonts w:hint="eastAsia" w:ascii="黑体" w:hAnsi="宋体" w:eastAsia="黑体" w:cs="黑体"/>
                <w:b/>
                <w:bCs/>
                <w:i w:val="0"/>
                <w:iCs w:val="0"/>
                <w:color w:val="auto"/>
                <w:sz w:val="22"/>
                <w:szCs w:val="22"/>
                <w:u w:val="none"/>
              </w:rPr>
            </w:pPr>
            <w:r>
              <w:rPr>
                <w:rFonts w:hint="eastAsia" w:ascii="黑体" w:hAnsi="宋体" w:eastAsia="黑体" w:cs="黑体"/>
                <w:b/>
                <w:bCs/>
                <w:i w:val="0"/>
                <w:iCs w:val="0"/>
                <w:color w:val="auto"/>
                <w:kern w:val="0"/>
                <w:sz w:val="22"/>
                <w:szCs w:val="22"/>
                <w:u w:val="none"/>
                <w:lang w:val="en-US" w:eastAsia="zh-CN" w:bidi="ar"/>
              </w:rPr>
              <w:t>项目特征描述</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C066A">
            <w:pPr>
              <w:keepNext w:val="0"/>
              <w:keepLines w:val="0"/>
              <w:widowControl/>
              <w:suppressLineNumbers w:val="0"/>
              <w:jc w:val="center"/>
              <w:textAlignment w:val="center"/>
              <w:rPr>
                <w:rFonts w:hint="eastAsia" w:ascii="黑体" w:hAnsi="宋体" w:eastAsia="黑体" w:cs="黑体"/>
                <w:b/>
                <w:bCs/>
                <w:i w:val="0"/>
                <w:iCs w:val="0"/>
                <w:color w:val="auto"/>
                <w:sz w:val="22"/>
                <w:szCs w:val="22"/>
                <w:u w:val="none"/>
              </w:rPr>
            </w:pPr>
            <w:r>
              <w:rPr>
                <w:rFonts w:hint="eastAsia" w:ascii="黑体" w:hAnsi="宋体" w:eastAsia="黑体" w:cs="黑体"/>
                <w:b/>
                <w:bCs/>
                <w:i w:val="0"/>
                <w:iCs w:val="0"/>
                <w:color w:val="auto"/>
                <w:kern w:val="0"/>
                <w:sz w:val="22"/>
                <w:szCs w:val="22"/>
                <w:u w:val="none"/>
                <w:lang w:val="en-US" w:eastAsia="zh-CN" w:bidi="ar"/>
              </w:rPr>
              <w:t>单位</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662CE">
            <w:pPr>
              <w:keepNext w:val="0"/>
              <w:keepLines w:val="0"/>
              <w:widowControl/>
              <w:suppressLineNumbers w:val="0"/>
              <w:jc w:val="center"/>
              <w:textAlignment w:val="center"/>
              <w:rPr>
                <w:rFonts w:hint="eastAsia" w:ascii="黑体" w:hAnsi="宋体" w:eastAsia="黑体" w:cs="黑体"/>
                <w:b/>
                <w:bCs/>
                <w:i w:val="0"/>
                <w:iCs w:val="0"/>
                <w:color w:val="auto"/>
                <w:sz w:val="22"/>
                <w:szCs w:val="22"/>
                <w:u w:val="none"/>
              </w:rPr>
            </w:pPr>
            <w:r>
              <w:rPr>
                <w:rFonts w:hint="eastAsia" w:ascii="黑体" w:hAnsi="宋体" w:eastAsia="黑体" w:cs="黑体"/>
                <w:b/>
                <w:bCs/>
                <w:i w:val="0"/>
                <w:iCs w:val="0"/>
                <w:color w:val="auto"/>
                <w:kern w:val="0"/>
                <w:sz w:val="22"/>
                <w:szCs w:val="22"/>
                <w:u w:val="none"/>
                <w:lang w:val="en-US" w:eastAsia="zh-CN" w:bidi="ar"/>
              </w:rPr>
              <w:t>数量</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47FC3">
            <w:pPr>
              <w:keepNext w:val="0"/>
              <w:keepLines w:val="0"/>
              <w:widowControl/>
              <w:suppressLineNumbers w:val="0"/>
              <w:jc w:val="center"/>
              <w:textAlignment w:val="center"/>
              <w:rPr>
                <w:rFonts w:hint="eastAsia" w:ascii="黑体" w:hAnsi="宋体" w:eastAsia="黑体" w:cs="黑体"/>
                <w:b/>
                <w:bCs/>
                <w:i w:val="0"/>
                <w:iCs w:val="0"/>
                <w:color w:val="auto"/>
                <w:kern w:val="0"/>
                <w:sz w:val="22"/>
                <w:szCs w:val="22"/>
                <w:u w:val="none"/>
                <w:lang w:val="en-US" w:eastAsia="zh-CN" w:bidi="ar"/>
              </w:rPr>
            </w:pPr>
            <w:r>
              <w:rPr>
                <w:rFonts w:hint="eastAsia" w:ascii="黑体" w:hAnsi="宋体" w:eastAsia="黑体" w:cs="黑体"/>
                <w:b/>
                <w:bCs/>
                <w:i w:val="0"/>
                <w:iCs w:val="0"/>
                <w:color w:val="auto"/>
                <w:kern w:val="0"/>
                <w:sz w:val="22"/>
                <w:szCs w:val="22"/>
                <w:u w:val="none"/>
                <w:lang w:val="en-US" w:eastAsia="zh-CN" w:bidi="ar"/>
              </w:rPr>
              <w:t>单价</w:t>
            </w:r>
          </w:p>
          <w:p w14:paraId="054F1BA8">
            <w:pPr>
              <w:keepNext w:val="0"/>
              <w:keepLines w:val="0"/>
              <w:widowControl/>
              <w:suppressLineNumbers w:val="0"/>
              <w:jc w:val="center"/>
              <w:textAlignment w:val="center"/>
              <w:rPr>
                <w:rFonts w:hint="eastAsia" w:ascii="黑体" w:hAnsi="宋体" w:eastAsia="黑体" w:cs="黑体"/>
                <w:b/>
                <w:bCs/>
                <w:i w:val="0"/>
                <w:iCs w:val="0"/>
                <w:color w:val="auto"/>
                <w:sz w:val="22"/>
                <w:szCs w:val="22"/>
                <w:u w:val="none"/>
              </w:rPr>
            </w:pPr>
            <w:r>
              <w:rPr>
                <w:rFonts w:hint="eastAsia" w:ascii="黑体" w:hAnsi="宋体" w:eastAsia="黑体" w:cs="黑体"/>
                <w:b/>
                <w:bCs/>
                <w:i w:val="0"/>
                <w:iCs w:val="0"/>
                <w:color w:val="auto"/>
                <w:kern w:val="0"/>
                <w:sz w:val="22"/>
                <w:szCs w:val="22"/>
                <w:u w:val="none"/>
                <w:lang w:val="en-US" w:eastAsia="zh-CN" w:bidi="ar"/>
              </w:rPr>
              <w:t>（万元）</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BB88C">
            <w:pPr>
              <w:keepNext w:val="0"/>
              <w:keepLines w:val="0"/>
              <w:widowControl/>
              <w:suppressLineNumbers w:val="0"/>
              <w:jc w:val="center"/>
              <w:textAlignment w:val="center"/>
              <w:rPr>
                <w:rFonts w:hint="eastAsia" w:ascii="黑体" w:hAnsi="宋体" w:eastAsia="黑体" w:cs="黑体"/>
                <w:b/>
                <w:bCs/>
                <w:i w:val="0"/>
                <w:iCs w:val="0"/>
                <w:color w:val="auto"/>
                <w:kern w:val="0"/>
                <w:sz w:val="22"/>
                <w:szCs w:val="22"/>
                <w:u w:val="none"/>
                <w:lang w:val="en-US" w:eastAsia="zh-CN" w:bidi="ar"/>
              </w:rPr>
            </w:pPr>
            <w:r>
              <w:rPr>
                <w:rFonts w:hint="eastAsia" w:ascii="黑体" w:hAnsi="宋体" w:eastAsia="黑体" w:cs="黑体"/>
                <w:b/>
                <w:bCs/>
                <w:i w:val="0"/>
                <w:iCs w:val="0"/>
                <w:color w:val="auto"/>
                <w:kern w:val="0"/>
                <w:sz w:val="22"/>
                <w:szCs w:val="22"/>
                <w:u w:val="none"/>
                <w:lang w:val="en-US" w:eastAsia="zh-CN" w:bidi="ar"/>
              </w:rPr>
              <w:t>小计</w:t>
            </w:r>
          </w:p>
          <w:p w14:paraId="1A22043B">
            <w:pPr>
              <w:keepNext w:val="0"/>
              <w:keepLines w:val="0"/>
              <w:widowControl/>
              <w:suppressLineNumbers w:val="0"/>
              <w:jc w:val="center"/>
              <w:textAlignment w:val="center"/>
              <w:rPr>
                <w:rFonts w:hint="eastAsia" w:ascii="黑体" w:hAnsi="宋体" w:eastAsia="黑体" w:cs="黑体"/>
                <w:b/>
                <w:bCs/>
                <w:i w:val="0"/>
                <w:iCs w:val="0"/>
                <w:color w:val="auto"/>
                <w:sz w:val="22"/>
                <w:szCs w:val="22"/>
                <w:u w:val="none"/>
              </w:rPr>
            </w:pPr>
            <w:r>
              <w:rPr>
                <w:rFonts w:hint="eastAsia" w:ascii="黑体" w:hAnsi="宋体" w:eastAsia="黑体" w:cs="黑体"/>
                <w:b/>
                <w:bCs/>
                <w:i w:val="0"/>
                <w:iCs w:val="0"/>
                <w:color w:val="auto"/>
                <w:kern w:val="0"/>
                <w:sz w:val="22"/>
                <w:szCs w:val="22"/>
                <w:u w:val="none"/>
                <w:lang w:val="en-US" w:eastAsia="zh-CN" w:bidi="ar"/>
              </w:rPr>
              <w:t>（万元）</w:t>
            </w:r>
          </w:p>
        </w:tc>
      </w:tr>
      <w:tr w14:paraId="4D0A9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3F4BB">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auto"/>
                <w:sz w:val="22"/>
                <w:szCs w:val="22"/>
                <w:u w:val="none"/>
              </w:rPr>
            </w:pPr>
            <w:r>
              <w:rPr>
                <w:rFonts w:hint="eastAsia" w:ascii="宋体" w:hAnsi="宋体" w:eastAsia="宋体" w:cs="宋体"/>
                <w:i w:val="0"/>
                <w:iCs w:val="0"/>
                <w:color w:val="auto"/>
                <w:sz w:val="22"/>
                <w:szCs w:val="22"/>
                <w:u w:val="none"/>
                <w:lang w:val="en-US" w:eastAsia="zh-CN"/>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47359">
            <w:pPr>
              <w:keepNext w:val="0"/>
              <w:keepLines w:val="0"/>
              <w:widowControl/>
              <w:suppressLineNumbers w:val="0"/>
              <w:jc w:val="center"/>
              <w:textAlignment w:val="center"/>
              <w:rPr>
                <w:rFonts w:hint="default" w:asciiTheme="majorEastAsia" w:hAnsiTheme="majorEastAsia" w:eastAsiaTheme="majorEastAsia" w:cstheme="majorEastAsia"/>
                <w:i w:val="0"/>
                <w:iCs w:val="0"/>
                <w:color w:val="auto"/>
                <w:sz w:val="22"/>
                <w:szCs w:val="22"/>
                <w:u w:val="none"/>
                <w:lang w:val="en-US" w:eastAsia="zh-CN"/>
              </w:rPr>
            </w:pPr>
            <w:r>
              <w:rPr>
                <w:rFonts w:hint="eastAsia" w:asciiTheme="majorEastAsia" w:hAnsiTheme="majorEastAsia" w:eastAsiaTheme="majorEastAsia" w:cstheme="majorEastAsia"/>
                <w:i w:val="0"/>
                <w:iCs w:val="0"/>
                <w:color w:val="auto"/>
                <w:sz w:val="22"/>
                <w:szCs w:val="22"/>
                <w:u w:val="none"/>
                <w:lang w:val="en-US" w:eastAsia="zh-CN"/>
              </w:rPr>
              <w:t>超融合服务器平台、网络安全设备续保</w:t>
            </w:r>
          </w:p>
        </w:tc>
        <w:tc>
          <w:tcPr>
            <w:tcW w:w="84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5CCE8">
            <w:pPr>
              <w:keepNext w:val="0"/>
              <w:keepLines w:val="0"/>
              <w:widowControl/>
              <w:numPr>
                <w:ilvl w:val="0"/>
                <w:numId w:val="2"/>
              </w:numPr>
              <w:suppressLineNumbers w:val="0"/>
              <w:jc w:val="left"/>
              <w:textAlignment w:val="center"/>
              <w:rPr>
                <w:rFonts w:hint="eastAsia"/>
                <w:color w:val="auto"/>
                <w:lang w:val="en-US" w:eastAsia="zh-CN"/>
              </w:rPr>
            </w:pPr>
            <w:r>
              <w:rPr>
                <w:rFonts w:hint="eastAsia"/>
                <w:color w:val="auto"/>
                <w:lang w:val="en-US" w:eastAsia="zh-CN"/>
              </w:rPr>
              <w:t>升级维保对象</w:t>
            </w:r>
          </w:p>
          <w:p w14:paraId="71C0E54C">
            <w:pPr>
              <w:keepNext w:val="0"/>
              <w:keepLines w:val="0"/>
              <w:widowControl/>
              <w:suppressLineNumbers w:val="0"/>
              <w:jc w:val="left"/>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1、深信服超融合服务器（一套、3台），包含：服务器硬件、超融合软件系统（SANGFOR HCI 6.10.0）、防火墙（安全组件aSEC-NFV）；</w:t>
            </w:r>
          </w:p>
          <w:p w14:paraId="43A7EC66">
            <w:pPr>
              <w:keepNext w:val="0"/>
              <w:keepLines w:val="0"/>
              <w:widowControl/>
              <w:suppressLineNumbers w:val="0"/>
              <w:jc w:val="left"/>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2、新华三超融合服务器（二套、7台），包含：服务器硬件、超融合软件系统（V8.0 (E0802P01)）；</w:t>
            </w:r>
          </w:p>
          <w:p w14:paraId="137FE978">
            <w:pPr>
              <w:keepNext w:val="0"/>
              <w:keepLines w:val="0"/>
              <w:widowControl/>
              <w:suppressLineNumbers w:val="0"/>
              <w:jc w:val="left"/>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3、深信服防火墙</w:t>
            </w:r>
            <w:r>
              <w:rPr>
                <w:rFonts w:hint="default" w:ascii="宋体" w:hAnsi="宋体" w:eastAsia="宋体" w:cs="宋体"/>
                <w:i w:val="0"/>
                <w:iCs w:val="0"/>
                <w:color w:val="auto"/>
                <w:sz w:val="22"/>
                <w:szCs w:val="22"/>
                <w:u w:val="none"/>
                <w:lang w:val="en-US" w:eastAsia="zh-CN"/>
              </w:rPr>
              <w:t>AF 8.0.35</w:t>
            </w:r>
            <w:r>
              <w:rPr>
                <w:rFonts w:hint="eastAsia" w:ascii="宋体" w:hAnsi="宋体" w:eastAsia="宋体" w:cs="宋体"/>
                <w:i w:val="0"/>
                <w:iCs w:val="0"/>
                <w:color w:val="auto"/>
                <w:sz w:val="22"/>
                <w:szCs w:val="22"/>
                <w:u w:val="none"/>
                <w:lang w:val="en-US" w:eastAsia="zh-CN"/>
              </w:rPr>
              <w:t>（1台），包含：硬件、软件系统；</w:t>
            </w:r>
          </w:p>
          <w:p w14:paraId="6FD58354">
            <w:pPr>
              <w:keepNext w:val="0"/>
              <w:keepLines w:val="0"/>
              <w:widowControl/>
              <w:suppressLineNumbers w:val="0"/>
              <w:jc w:val="left"/>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4、天融信防火墙NGFW4000-UF（1台），包含：硬件、软件系统、专业病毒库、应用识别特征库、IP地理信息库；</w:t>
            </w:r>
          </w:p>
          <w:p w14:paraId="7F39F7B0">
            <w:pPr>
              <w:keepNext w:val="0"/>
              <w:keepLines w:val="0"/>
              <w:widowControl/>
              <w:suppressLineNumbers w:val="0"/>
              <w:jc w:val="left"/>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5、天融信行为管理ACM-53630（1台），包含：硬件、软件系统、应用特征库、URL库、ISP自动地址表、国家/地区IP库；</w:t>
            </w:r>
          </w:p>
          <w:p w14:paraId="7D022E75">
            <w:pPr>
              <w:keepNext w:val="0"/>
              <w:keepLines w:val="0"/>
              <w:widowControl/>
              <w:numPr>
                <w:ilvl w:val="0"/>
                <w:numId w:val="2"/>
              </w:numPr>
              <w:suppressLineNumbers w:val="0"/>
              <w:jc w:val="left"/>
              <w:textAlignment w:val="center"/>
              <w:rPr>
                <w:rFonts w:hint="default"/>
                <w:color w:val="auto"/>
                <w:lang w:val="en-US" w:eastAsia="zh-CN"/>
              </w:rPr>
            </w:pPr>
            <w:r>
              <w:rPr>
                <w:rFonts w:hint="eastAsia"/>
                <w:color w:val="auto"/>
                <w:lang w:val="en-US" w:eastAsia="zh-CN"/>
              </w:rPr>
              <w:t>服务要求说明</w:t>
            </w:r>
          </w:p>
          <w:p w14:paraId="5031AE81">
            <w:pPr>
              <w:keepNext w:val="0"/>
              <w:keepLines w:val="0"/>
              <w:widowControl/>
              <w:numPr>
                <w:ilvl w:val="0"/>
                <w:numId w:val="3"/>
              </w:numPr>
              <w:suppressLineNumbers w:val="0"/>
              <w:jc w:val="left"/>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技术支持服务</w:t>
            </w:r>
          </w:p>
          <w:p w14:paraId="4CF1E2B2">
            <w:pPr>
              <w:keepNext w:val="0"/>
              <w:keepLines w:val="0"/>
              <w:widowControl/>
              <w:numPr>
                <w:ilvl w:val="0"/>
                <w:numId w:val="4"/>
              </w:numPr>
              <w:suppressLineNumbers w:val="0"/>
              <w:jc w:val="left"/>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★提供原厂远程支持中心7x24小时的电话和远程调试服务，通过电话指导、远程调试等方式确保客户的技术问题能获得原厂技术专家直接的处理和跟踪，直至确保问题最终得到解决；</w:t>
            </w:r>
          </w:p>
          <w:p w14:paraId="05221955">
            <w:pPr>
              <w:keepNext w:val="0"/>
              <w:keepLines w:val="0"/>
              <w:widowControl/>
              <w:numPr>
                <w:ilvl w:val="0"/>
                <w:numId w:val="4"/>
              </w:numPr>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提供现场产品技术使用支持、问题处理服务；</w:t>
            </w:r>
          </w:p>
          <w:p w14:paraId="62173124">
            <w:pPr>
              <w:keepNext w:val="0"/>
              <w:keepLines w:val="0"/>
              <w:widowControl/>
              <w:numPr>
                <w:ilvl w:val="0"/>
                <w:numId w:val="3"/>
              </w:numPr>
              <w:suppressLineNumbers w:val="0"/>
              <w:jc w:val="left"/>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软件升级</w:t>
            </w:r>
          </w:p>
          <w:p w14:paraId="52F0A35D">
            <w:pPr>
              <w:keepNext w:val="0"/>
              <w:keepLines w:val="0"/>
              <w:widowControl/>
              <w:numPr>
                <w:ilvl w:val="0"/>
                <w:numId w:val="5"/>
              </w:numPr>
              <w:suppressLineNumbers w:val="0"/>
              <w:jc w:val="left"/>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★提供硬件设备同等功能软件版本更新、升级，以及该软件版本配套的文档资料、用户手册。升级后用户将享有新版本软件的使用权利。</w:t>
            </w:r>
          </w:p>
          <w:p w14:paraId="48E94372">
            <w:pPr>
              <w:keepNext w:val="0"/>
              <w:keepLines w:val="0"/>
              <w:widowControl/>
              <w:numPr>
                <w:ilvl w:val="0"/>
                <w:numId w:val="5"/>
              </w:numPr>
              <w:suppressLineNumbers w:val="0"/>
              <w:jc w:val="left"/>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★对升级维保对象中所有产品，提供原厂升级授权，保证客户产品能及时更新对于厂商发布的最新版本升级包，包含但不限于以下内容：深信服超融合软件系统（SANGFOR HCI 6.10.0）、防火墙（安全组件aSEC-NFV）；新华三超融合软件系统；深信服防火墙软件系统、云智订阅软件（基础功能和增强功能的安全能力进行升级，包括：URL、WAF、IPS、IOC等库的升级更新）；天融信防火墙专业病毒库、应用识别特征库、IP地理信息库；天融信行为管理软件系统、应用特征库、URL库、 ISP自动地址表、国家/地区IP库等；</w:t>
            </w:r>
          </w:p>
          <w:p w14:paraId="69A46864">
            <w:pPr>
              <w:keepNext w:val="0"/>
              <w:keepLines w:val="0"/>
              <w:widowControl/>
              <w:numPr>
                <w:ilvl w:val="0"/>
                <w:numId w:val="3"/>
              </w:numPr>
              <w:suppressLineNumbers w:val="0"/>
              <w:jc w:val="left"/>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产品质保</w:t>
            </w:r>
          </w:p>
          <w:p w14:paraId="70CAC10F">
            <w:pPr>
              <w:keepNext w:val="0"/>
              <w:keepLines w:val="0"/>
              <w:widowControl/>
              <w:numPr>
                <w:ilvl w:val="0"/>
                <w:numId w:val="6"/>
              </w:numPr>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★用户可以通过400官方客服电话，要求原厂提供</w:t>
            </w:r>
            <w:r>
              <w:rPr>
                <w:rFonts w:hint="default" w:ascii="宋体" w:hAnsi="宋体" w:eastAsia="宋体" w:cs="宋体"/>
                <w:i w:val="0"/>
                <w:iCs w:val="0"/>
                <w:color w:val="auto"/>
                <w:sz w:val="22"/>
                <w:szCs w:val="22"/>
                <w:u w:val="none"/>
                <w:lang w:val="en-US" w:eastAsia="zh-CN"/>
              </w:rPr>
              <w:t>硬件保修要求，</w:t>
            </w:r>
            <w:r>
              <w:rPr>
                <w:rFonts w:hint="eastAsia" w:ascii="宋体" w:hAnsi="宋体" w:eastAsia="宋体" w:cs="宋体"/>
                <w:i w:val="0"/>
                <w:iCs w:val="0"/>
                <w:color w:val="auto"/>
                <w:sz w:val="22"/>
                <w:szCs w:val="22"/>
                <w:u w:val="none"/>
                <w:lang w:val="en-US" w:eastAsia="zh-CN"/>
              </w:rPr>
              <w:t>现场技术人员</w:t>
            </w:r>
            <w:r>
              <w:rPr>
                <w:rFonts w:hint="default" w:ascii="宋体" w:hAnsi="宋体" w:eastAsia="宋体" w:cs="宋体"/>
                <w:i w:val="0"/>
                <w:iCs w:val="0"/>
                <w:color w:val="auto"/>
                <w:sz w:val="22"/>
                <w:szCs w:val="22"/>
                <w:u w:val="none"/>
                <w:lang w:val="en-US" w:eastAsia="zh-CN"/>
              </w:rPr>
              <w:t>寄回故障设备，5个工作日</w:t>
            </w:r>
            <w:r>
              <w:rPr>
                <w:rFonts w:hint="eastAsia" w:ascii="宋体" w:hAnsi="宋体" w:eastAsia="宋体" w:cs="宋体"/>
                <w:i w:val="0"/>
                <w:iCs w:val="0"/>
                <w:color w:val="auto"/>
                <w:sz w:val="22"/>
                <w:szCs w:val="22"/>
                <w:u w:val="none"/>
                <w:lang w:val="en-US" w:eastAsia="zh-CN"/>
              </w:rPr>
              <w:t>内</w:t>
            </w:r>
            <w:r>
              <w:rPr>
                <w:rFonts w:hint="default" w:ascii="宋体" w:hAnsi="宋体" w:eastAsia="宋体" w:cs="宋体"/>
                <w:i w:val="0"/>
                <w:iCs w:val="0"/>
                <w:color w:val="auto"/>
                <w:sz w:val="22"/>
                <w:szCs w:val="22"/>
                <w:u w:val="none"/>
                <w:lang w:val="en-US" w:eastAsia="zh-CN"/>
              </w:rPr>
              <w:t>将维修好的硬件设备或部件寄出</w:t>
            </w:r>
            <w:r>
              <w:rPr>
                <w:rFonts w:hint="eastAsia" w:ascii="宋体" w:hAnsi="宋体" w:eastAsia="宋体" w:cs="宋体"/>
                <w:i w:val="0"/>
                <w:iCs w:val="0"/>
                <w:color w:val="auto"/>
                <w:sz w:val="22"/>
                <w:szCs w:val="22"/>
                <w:u w:val="none"/>
                <w:lang w:val="en-US" w:eastAsia="zh-CN"/>
              </w:rPr>
              <w:t>，并完成安装调试；</w:t>
            </w:r>
          </w:p>
          <w:p w14:paraId="49EE3D5F">
            <w:pPr>
              <w:keepNext w:val="0"/>
              <w:keepLines w:val="0"/>
              <w:widowControl/>
              <w:numPr>
                <w:ilvl w:val="0"/>
                <w:numId w:val="6"/>
              </w:numPr>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w:t>
            </w:r>
            <w:r>
              <w:rPr>
                <w:rFonts w:hint="default" w:ascii="宋体" w:hAnsi="宋体" w:eastAsia="宋体" w:cs="宋体"/>
                <w:i w:val="0"/>
                <w:iCs w:val="0"/>
                <w:color w:val="auto"/>
                <w:sz w:val="22"/>
                <w:szCs w:val="22"/>
                <w:u w:val="none"/>
                <w:lang w:val="en-US" w:eastAsia="zh-CN"/>
              </w:rPr>
              <w:t>当客户原设备出现故障无法使用时，</w:t>
            </w:r>
            <w:r>
              <w:rPr>
                <w:rFonts w:hint="eastAsia" w:ascii="宋体" w:hAnsi="宋体" w:eastAsia="宋体" w:cs="宋体"/>
                <w:i w:val="0"/>
                <w:iCs w:val="0"/>
                <w:color w:val="auto"/>
                <w:sz w:val="22"/>
                <w:szCs w:val="22"/>
                <w:u w:val="none"/>
                <w:lang w:val="en-US" w:eastAsia="zh-CN"/>
              </w:rPr>
              <w:t>用户可以向原厂要求，</w:t>
            </w:r>
            <w:r>
              <w:rPr>
                <w:rFonts w:hint="default" w:ascii="宋体" w:hAnsi="宋体" w:eastAsia="宋体" w:cs="宋体"/>
                <w:i w:val="0"/>
                <w:iCs w:val="0"/>
                <w:color w:val="auto"/>
                <w:sz w:val="22"/>
                <w:szCs w:val="22"/>
                <w:u w:val="none"/>
                <w:lang w:val="en-US" w:eastAsia="zh-CN"/>
              </w:rPr>
              <w:t>提供不低于原使用产品型号的备机进行替换保障</w:t>
            </w:r>
            <w:r>
              <w:rPr>
                <w:rFonts w:hint="eastAsia" w:ascii="宋体" w:hAnsi="宋体" w:eastAsia="宋体" w:cs="宋体"/>
                <w:i w:val="0"/>
                <w:iCs w:val="0"/>
                <w:color w:val="auto"/>
                <w:sz w:val="22"/>
                <w:szCs w:val="22"/>
                <w:u w:val="none"/>
                <w:lang w:val="en-US" w:eastAsia="zh-CN"/>
              </w:rPr>
              <w:t>；</w:t>
            </w:r>
          </w:p>
          <w:p w14:paraId="24475955">
            <w:pPr>
              <w:keepNext w:val="0"/>
              <w:keepLines w:val="0"/>
              <w:widowControl/>
              <w:numPr>
                <w:ilvl w:val="0"/>
                <w:numId w:val="3"/>
              </w:numPr>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巡查服务</w:t>
            </w:r>
          </w:p>
          <w:p w14:paraId="1461FE7A">
            <w:pPr>
              <w:keepNext w:val="0"/>
              <w:keepLines w:val="0"/>
              <w:widowControl/>
              <w:numPr>
                <w:ilvl w:val="0"/>
                <w:numId w:val="7"/>
              </w:numPr>
              <w:suppressLineNumbers w:val="0"/>
              <w:jc w:val="left"/>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原厂专业技术人员上门对客户产品功能及引用环境进行全面的检测分析后给出后期产品稳定性及应用功能优化建议报告；</w:t>
            </w:r>
          </w:p>
          <w:p w14:paraId="1BCEA217">
            <w:pPr>
              <w:keepNext w:val="0"/>
              <w:keepLines w:val="0"/>
              <w:widowControl/>
              <w:numPr>
                <w:ilvl w:val="0"/>
                <w:numId w:val="7"/>
              </w:numPr>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协助完成学校完成等级保护评估工作。</w:t>
            </w:r>
          </w:p>
          <w:p w14:paraId="5F6A2A90">
            <w:pPr>
              <w:pStyle w:val="8"/>
              <w:numPr>
                <w:ilvl w:val="0"/>
                <w:numId w:val="2"/>
              </w:numPr>
              <w:ind w:left="0" w:leftChars="0" w:firstLine="0" w:firstLineChars="0"/>
              <w:rPr>
                <w:rFonts w:hint="eastAsia"/>
                <w:lang w:val="en-US" w:eastAsia="zh-CN"/>
              </w:rPr>
            </w:pPr>
            <w:r>
              <w:rPr>
                <w:rFonts w:hint="eastAsia"/>
                <w:lang w:val="en-US" w:eastAsia="zh-CN"/>
              </w:rPr>
              <w:t>其他要求</w:t>
            </w:r>
          </w:p>
          <w:p w14:paraId="5D9F2CC9">
            <w:pPr>
              <w:keepNext w:val="0"/>
              <w:keepLines w:val="0"/>
              <w:widowControl/>
              <w:numPr>
                <w:ilvl w:val="0"/>
                <w:numId w:val="8"/>
              </w:numPr>
              <w:suppressLineNumbers w:val="0"/>
              <w:jc w:val="left"/>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sz w:val="22"/>
                <w:szCs w:val="22"/>
                <w:u w:val="none"/>
                <w:lang w:val="en-US" w:eastAsia="zh-CN"/>
              </w:rPr>
              <w:t>原厂无法续保的情况下，提供原厂不续保证明材料，由中标人提供</w:t>
            </w:r>
            <w:r>
              <w:rPr>
                <w:rFonts w:hint="default" w:ascii="宋体" w:hAnsi="宋体" w:eastAsia="宋体" w:cs="宋体"/>
                <w:i w:val="0"/>
                <w:iCs w:val="0"/>
                <w:color w:val="auto"/>
                <w:sz w:val="22"/>
                <w:szCs w:val="22"/>
                <w:u w:val="none"/>
                <w:lang w:val="en-US" w:eastAsia="zh-CN"/>
              </w:rPr>
              <w:t>设备</w:t>
            </w:r>
            <w:r>
              <w:rPr>
                <w:rFonts w:hint="eastAsia" w:ascii="宋体" w:hAnsi="宋体" w:eastAsia="宋体" w:cs="宋体"/>
                <w:i w:val="0"/>
                <w:iCs w:val="0"/>
                <w:color w:val="auto"/>
                <w:sz w:val="22"/>
                <w:szCs w:val="22"/>
                <w:u w:val="none"/>
                <w:lang w:val="en-US" w:eastAsia="zh-CN"/>
              </w:rPr>
              <w:t>质保、技术支持；如无法修复的设备，需由中标人免费提供性能参数不低于原设备的替换件（原设备、替换件均归学校所有）；</w:t>
            </w:r>
          </w:p>
          <w:p w14:paraId="4D35E874">
            <w:pPr>
              <w:pStyle w:val="8"/>
              <w:numPr>
                <w:ilvl w:val="0"/>
                <w:numId w:val="8"/>
              </w:numPr>
              <w:ind w:left="0" w:leftChars="0" w:firstLine="0" w:firstLineChars="0"/>
              <w:rPr>
                <w:rFonts w:hint="default" w:ascii="宋体" w:hAnsi="宋体" w:eastAsia="宋体" w:cs="宋体"/>
                <w:i w:val="0"/>
                <w:iCs w:val="0"/>
                <w:color w:val="auto"/>
                <w:kern w:val="2"/>
                <w:sz w:val="22"/>
                <w:szCs w:val="22"/>
                <w:u w:val="none"/>
                <w:lang w:val="en-US" w:eastAsia="zh-CN" w:bidi="ar-SA"/>
              </w:rPr>
            </w:pPr>
            <w:r>
              <w:rPr>
                <w:rFonts w:hint="default" w:ascii="宋体" w:hAnsi="宋体" w:eastAsia="宋体" w:cs="宋体"/>
                <w:i w:val="0"/>
                <w:iCs w:val="0"/>
                <w:color w:val="auto"/>
                <w:sz w:val="22"/>
                <w:szCs w:val="22"/>
                <w:u w:val="none"/>
                <w:lang w:val="en-US" w:eastAsia="zh-CN"/>
              </w:rPr>
              <w:t>▲</w:t>
            </w:r>
            <w:r>
              <w:rPr>
                <w:rFonts w:hint="eastAsia"/>
                <w:lang w:val="en-US" w:eastAsia="zh-CN"/>
              </w:rPr>
              <w:t>服务期：三年；</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93764">
            <w:pPr>
              <w:keepNext w:val="0"/>
              <w:keepLines w:val="0"/>
              <w:widowControl/>
              <w:suppressLineNumbers w:val="0"/>
              <w:jc w:val="left"/>
              <w:textAlignment w:val="center"/>
              <w:rPr>
                <w:rFonts w:hint="eastAsia" w:asciiTheme="majorEastAsia" w:hAnsiTheme="majorEastAsia" w:eastAsiaTheme="majorEastAsia" w:cstheme="majorEastAsia"/>
                <w:i w:val="0"/>
                <w:iCs w:val="0"/>
                <w:color w:val="auto"/>
                <w:sz w:val="22"/>
                <w:szCs w:val="22"/>
                <w:u w:val="none"/>
              </w:rPr>
            </w:pPr>
            <w:r>
              <w:rPr>
                <w:rFonts w:hint="eastAsia" w:asciiTheme="majorEastAsia" w:hAnsiTheme="majorEastAsia" w:eastAsiaTheme="majorEastAsia" w:cstheme="majorEastAsia"/>
                <w:i w:val="0"/>
                <w:iCs w:val="0"/>
                <w:color w:val="auto"/>
                <w:kern w:val="0"/>
                <w:sz w:val="22"/>
                <w:szCs w:val="22"/>
                <w:u w:val="none"/>
                <w:lang w:val="en-US" w:eastAsia="zh-CN" w:bidi="ar"/>
              </w:rPr>
              <w:t>套</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824C1">
            <w:pPr>
              <w:keepNext w:val="0"/>
              <w:keepLines w:val="0"/>
              <w:widowControl/>
              <w:suppressLineNumbers w:val="0"/>
              <w:jc w:val="both"/>
              <w:textAlignment w:val="center"/>
              <w:rPr>
                <w:rFonts w:hint="eastAsia" w:asciiTheme="majorEastAsia" w:hAnsiTheme="majorEastAsia" w:eastAsiaTheme="majorEastAsia" w:cstheme="majorEastAsia"/>
                <w:i w:val="0"/>
                <w:iCs w:val="0"/>
                <w:color w:val="auto"/>
                <w:sz w:val="22"/>
                <w:szCs w:val="22"/>
                <w:u w:val="none"/>
              </w:rPr>
            </w:pPr>
            <w:r>
              <w:rPr>
                <w:rFonts w:hint="eastAsia" w:asciiTheme="majorEastAsia" w:hAnsiTheme="majorEastAsia" w:eastAsiaTheme="majorEastAsia" w:cstheme="majorEastAsia"/>
                <w:i w:val="0"/>
                <w:iCs w:val="0"/>
                <w:color w:val="auto"/>
                <w:kern w:val="0"/>
                <w:sz w:val="22"/>
                <w:szCs w:val="22"/>
                <w:u w:val="none"/>
                <w:lang w:val="en-US" w:eastAsia="zh-CN" w:bidi="ar"/>
              </w:rPr>
              <w:t>1</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47CEE">
            <w:pPr>
              <w:keepNext w:val="0"/>
              <w:keepLines w:val="0"/>
              <w:widowControl/>
              <w:suppressLineNumbers w:val="0"/>
              <w:jc w:val="both"/>
              <w:textAlignment w:val="center"/>
              <w:rPr>
                <w:rFonts w:hint="default" w:asciiTheme="majorEastAsia" w:hAnsiTheme="majorEastAsia" w:eastAsiaTheme="majorEastAsia" w:cstheme="majorEastAsia"/>
                <w:i w:val="0"/>
                <w:iCs w:val="0"/>
                <w:color w:val="auto"/>
                <w:sz w:val="22"/>
                <w:szCs w:val="22"/>
                <w:u w:val="none"/>
                <w:lang w:val="en-US" w:eastAsia="zh-CN"/>
              </w:rPr>
            </w:pPr>
            <w:r>
              <w:rPr>
                <w:rFonts w:hint="eastAsia" w:asciiTheme="majorEastAsia" w:hAnsiTheme="majorEastAsia" w:eastAsiaTheme="majorEastAsia" w:cstheme="majorEastAsia"/>
                <w:i w:val="0"/>
                <w:iCs w:val="0"/>
                <w:color w:val="auto"/>
                <w:sz w:val="22"/>
                <w:szCs w:val="22"/>
                <w:u w:val="none"/>
                <w:lang w:val="en-US" w:eastAsia="zh-CN"/>
              </w:rPr>
              <w:t>20</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581D62">
            <w:pPr>
              <w:keepNext w:val="0"/>
              <w:keepLines w:val="0"/>
              <w:widowControl/>
              <w:suppressLineNumbers w:val="0"/>
              <w:jc w:val="both"/>
              <w:textAlignment w:val="center"/>
              <w:rPr>
                <w:rFonts w:hint="default" w:asciiTheme="majorEastAsia" w:hAnsiTheme="majorEastAsia" w:eastAsiaTheme="majorEastAsia" w:cstheme="majorEastAsia"/>
                <w:i w:val="0"/>
                <w:iCs w:val="0"/>
                <w:color w:val="auto"/>
                <w:sz w:val="22"/>
                <w:szCs w:val="22"/>
                <w:u w:val="none"/>
                <w:lang w:val="en-US"/>
              </w:rPr>
            </w:pPr>
            <w:r>
              <w:rPr>
                <w:rFonts w:hint="eastAsia" w:asciiTheme="majorEastAsia" w:hAnsiTheme="majorEastAsia" w:eastAsiaTheme="majorEastAsia" w:cstheme="majorEastAsia"/>
                <w:i w:val="0"/>
                <w:iCs w:val="0"/>
                <w:color w:val="auto"/>
                <w:kern w:val="0"/>
                <w:sz w:val="22"/>
                <w:szCs w:val="22"/>
                <w:u w:val="none"/>
                <w:lang w:val="en-US" w:eastAsia="zh-CN" w:bidi="ar"/>
              </w:rPr>
              <w:t>20</w:t>
            </w:r>
          </w:p>
        </w:tc>
      </w:tr>
      <w:tr w14:paraId="69E14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DFA59">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C9243">
            <w:pPr>
              <w:keepNext w:val="0"/>
              <w:keepLines w:val="0"/>
              <w:widowControl/>
              <w:suppressLineNumbers w:val="0"/>
              <w:jc w:val="center"/>
              <w:textAlignment w:val="center"/>
              <w:rPr>
                <w:rFonts w:hint="default" w:asciiTheme="majorEastAsia" w:hAnsiTheme="majorEastAsia" w:eastAsiaTheme="majorEastAsia" w:cstheme="majorEastAsia"/>
                <w:i w:val="0"/>
                <w:iCs w:val="0"/>
                <w:color w:val="auto"/>
                <w:sz w:val="22"/>
                <w:szCs w:val="22"/>
                <w:u w:val="none"/>
                <w:lang w:val="en-US" w:eastAsia="zh-CN"/>
              </w:rPr>
            </w:pPr>
            <w:r>
              <w:rPr>
                <w:rFonts w:hint="eastAsia" w:asciiTheme="majorEastAsia" w:hAnsiTheme="majorEastAsia" w:eastAsiaTheme="majorEastAsia" w:cstheme="majorEastAsia"/>
                <w:i w:val="0"/>
                <w:iCs w:val="0"/>
                <w:color w:val="auto"/>
                <w:sz w:val="22"/>
                <w:szCs w:val="22"/>
                <w:u w:val="none"/>
                <w:lang w:val="en-US" w:eastAsia="zh-CN"/>
              </w:rPr>
              <w:t>服务器杀毒软件</w:t>
            </w:r>
          </w:p>
        </w:tc>
        <w:tc>
          <w:tcPr>
            <w:tcW w:w="84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3140A">
            <w:pPr>
              <w:keepNext w:val="0"/>
              <w:keepLines w:val="0"/>
              <w:widowControl/>
              <w:suppressLineNumbers w:val="0"/>
              <w:jc w:val="left"/>
              <w:textAlignment w:val="center"/>
              <w:rPr>
                <w:rFonts w:hint="eastAsia"/>
                <w:color w:val="auto"/>
              </w:rPr>
            </w:pPr>
            <w:r>
              <w:rPr>
                <w:rFonts w:hint="eastAsia"/>
                <w:color w:val="auto"/>
                <w:lang w:val="en-US" w:eastAsia="zh-CN"/>
              </w:rPr>
              <w:t>1、</w:t>
            </w:r>
            <w:r>
              <w:rPr>
                <w:rFonts w:hint="eastAsia"/>
                <w:color w:val="auto"/>
              </w:rPr>
              <w:t>★产品符合国产化要求，本次提供</w:t>
            </w:r>
            <w:r>
              <w:rPr>
                <w:rFonts w:hint="eastAsia"/>
                <w:color w:val="auto"/>
                <w:lang w:val="en-US" w:eastAsia="zh-CN"/>
              </w:rPr>
              <w:t>80</w:t>
            </w:r>
            <w:r>
              <w:rPr>
                <w:rFonts w:hint="eastAsia"/>
                <w:color w:val="auto"/>
              </w:rPr>
              <w:t>套PC端及</w:t>
            </w:r>
            <w:r>
              <w:rPr>
                <w:rFonts w:hint="eastAsia"/>
                <w:color w:val="auto"/>
                <w:lang w:val="en-US" w:eastAsia="zh-CN"/>
              </w:rPr>
              <w:t>30</w:t>
            </w:r>
            <w:r>
              <w:rPr>
                <w:rFonts w:hint="eastAsia"/>
                <w:color w:val="auto"/>
              </w:rPr>
              <w:t>套服务器端安全软件</w:t>
            </w:r>
            <w:r>
              <w:rPr>
                <w:rFonts w:hint="eastAsia"/>
                <w:color w:val="auto"/>
                <w:lang w:eastAsia="zh-CN"/>
              </w:rPr>
              <w:t>，</w:t>
            </w:r>
            <w:r>
              <w:rPr>
                <w:rFonts w:hint="eastAsia"/>
                <w:color w:val="auto"/>
                <w:lang w:val="en-US" w:eastAsia="zh-CN"/>
              </w:rPr>
              <w:t>永久使用、5年在线升级</w:t>
            </w:r>
            <w:r>
              <w:rPr>
                <w:rFonts w:hint="eastAsia"/>
                <w:color w:val="auto"/>
              </w:rPr>
              <w:t>授权。</w:t>
            </w:r>
          </w:p>
          <w:p w14:paraId="68955008">
            <w:pPr>
              <w:keepNext w:val="0"/>
              <w:keepLines w:val="0"/>
              <w:widowControl/>
              <w:suppressLineNumbers w:val="0"/>
              <w:jc w:val="left"/>
              <w:textAlignment w:val="center"/>
              <w:rPr>
                <w:rFonts w:hint="eastAsia"/>
                <w:color w:val="auto"/>
              </w:rPr>
            </w:pPr>
            <w:r>
              <w:rPr>
                <w:rFonts w:hint="eastAsia"/>
                <w:color w:val="auto"/>
                <w:lang w:val="en-US" w:eastAsia="zh-CN"/>
              </w:rPr>
              <w:t>2、</w:t>
            </w:r>
            <w:r>
              <w:rPr>
                <w:rFonts w:hint="eastAsia"/>
                <w:color w:val="auto"/>
              </w:rPr>
              <w:t>国产化兼容性</w:t>
            </w:r>
            <w:r>
              <w:rPr>
                <w:rFonts w:hint="eastAsia"/>
                <w:color w:val="auto"/>
                <w:lang w:eastAsia="zh-CN"/>
              </w:rPr>
              <w:t>：</w:t>
            </w:r>
            <w:r>
              <w:rPr>
                <w:rFonts w:hint="eastAsia"/>
                <w:color w:val="auto"/>
              </w:rPr>
              <w:t>支持主流国产化操作系统，如欧拉、龙蜥、中标麒麟、银河麒麟、统信等。</w:t>
            </w:r>
          </w:p>
          <w:p w14:paraId="000B27F8">
            <w:pPr>
              <w:keepNext w:val="0"/>
              <w:keepLines w:val="0"/>
              <w:widowControl/>
              <w:suppressLineNumbers w:val="0"/>
              <w:jc w:val="left"/>
              <w:textAlignment w:val="center"/>
              <w:rPr>
                <w:rFonts w:hint="eastAsia" w:eastAsiaTheme="minorEastAsia"/>
                <w:color w:val="auto"/>
                <w:lang w:eastAsia="zh-CN"/>
              </w:rPr>
            </w:pPr>
            <w:r>
              <w:rPr>
                <w:rFonts w:hint="eastAsia"/>
                <w:color w:val="auto"/>
                <w:lang w:val="en-US" w:eastAsia="zh-CN"/>
              </w:rPr>
              <w:t>3、</w:t>
            </w:r>
            <w:r>
              <w:rPr>
                <w:rFonts w:hint="eastAsia"/>
                <w:color w:val="auto"/>
              </w:rPr>
              <w:t>单一管理控制中心可统一管理分别部署在Windows</w:t>
            </w:r>
            <w:r>
              <w:rPr>
                <w:rFonts w:hint="eastAsia"/>
                <w:color w:val="auto"/>
                <w:lang w:val="en-US" w:eastAsia="zh-CN"/>
              </w:rPr>
              <w:t>客户机</w:t>
            </w:r>
            <w:r>
              <w:rPr>
                <w:rFonts w:hint="eastAsia"/>
                <w:color w:val="auto"/>
              </w:rPr>
              <w:t>、Windows服务器、Linux服务器以及国产化服务器的客户端软件</w:t>
            </w:r>
            <w:r>
              <w:rPr>
                <w:rFonts w:hint="eastAsia"/>
                <w:color w:val="auto"/>
                <w:lang w:eastAsia="zh-CN"/>
              </w:rPr>
              <w:t>；</w:t>
            </w:r>
          </w:p>
          <w:p w14:paraId="0E9F5B60">
            <w:pPr>
              <w:keepNext w:val="0"/>
              <w:keepLines w:val="0"/>
              <w:widowControl/>
              <w:suppressLineNumbers w:val="0"/>
              <w:jc w:val="left"/>
              <w:textAlignment w:val="center"/>
              <w:rPr>
                <w:rFonts w:hint="eastAsia"/>
                <w:color w:val="auto"/>
                <w:lang w:eastAsia="zh-CN"/>
              </w:rPr>
            </w:pPr>
            <w:r>
              <w:rPr>
                <w:rFonts w:hint="eastAsia"/>
                <w:color w:val="auto"/>
                <w:lang w:val="en-US" w:eastAsia="zh-CN"/>
              </w:rPr>
              <w:t>4、</w:t>
            </w:r>
            <w:r>
              <w:rPr>
                <w:rFonts w:hint="eastAsia"/>
                <w:color w:val="auto"/>
              </w:rPr>
              <w:t>▲支持跳转链接至云端安全威胁响应系统，针对已发生的病毒的基本信息，影响分析（客户情况、影响行业、区域分布）、威胁分析和处理建议（需提供具备CMA/CNAS资质的权威机构颁发的产品功能检测报告 ）</w:t>
            </w:r>
            <w:r>
              <w:rPr>
                <w:rFonts w:hint="eastAsia"/>
                <w:color w:val="auto"/>
                <w:lang w:eastAsia="zh-CN"/>
              </w:rPr>
              <w:t>；</w:t>
            </w:r>
          </w:p>
          <w:p w14:paraId="682ACB85">
            <w:pPr>
              <w:keepNext w:val="0"/>
              <w:keepLines w:val="0"/>
              <w:widowControl/>
              <w:suppressLineNumbers w:val="0"/>
              <w:jc w:val="left"/>
              <w:textAlignment w:val="center"/>
              <w:rPr>
                <w:rFonts w:hint="eastAsia" w:eastAsiaTheme="minorEastAsia"/>
                <w:color w:val="auto"/>
                <w:lang w:eastAsia="zh-CN"/>
              </w:rPr>
            </w:pPr>
            <w:r>
              <w:rPr>
                <w:rFonts w:hint="eastAsia"/>
                <w:color w:val="auto"/>
                <w:lang w:val="en-US" w:eastAsia="zh-CN"/>
              </w:rPr>
              <w:t>5、</w:t>
            </w:r>
            <w:r>
              <w:rPr>
                <w:rFonts w:hint="eastAsia"/>
                <w:color w:val="auto"/>
              </w:rPr>
              <w:t>▲支持与</w:t>
            </w:r>
            <w:r>
              <w:rPr>
                <w:rFonts w:hint="eastAsia"/>
                <w:color w:val="auto"/>
                <w:lang w:val="en-US" w:eastAsia="zh-CN"/>
              </w:rPr>
              <w:t>学校已有</w:t>
            </w:r>
            <w:r>
              <w:rPr>
                <w:rFonts w:hint="eastAsia"/>
                <w:color w:val="auto"/>
              </w:rPr>
              <w:t>安全态势感知平台</w:t>
            </w:r>
            <w:r>
              <w:rPr>
                <w:rFonts w:hint="eastAsia"/>
                <w:color w:val="auto"/>
                <w:lang w:val="en-US" w:eastAsia="zh-CN"/>
              </w:rPr>
              <w:t>或IPS或出口防火墙</w:t>
            </w:r>
            <w:r>
              <w:rPr>
                <w:rFonts w:hint="eastAsia"/>
                <w:color w:val="auto"/>
              </w:rPr>
              <w:t>进行安全联动，支持</w:t>
            </w:r>
            <w:r>
              <w:rPr>
                <w:rFonts w:hint="eastAsia"/>
                <w:color w:val="auto"/>
                <w:lang w:val="en-US" w:eastAsia="zh-CN"/>
              </w:rPr>
              <w:t>手动、自动</w:t>
            </w:r>
            <w:r>
              <w:rPr>
                <w:rFonts w:hint="eastAsia"/>
                <w:color w:val="auto"/>
              </w:rPr>
              <w:t>下发快速查杀任务，并查看任务状态、结果并进行处置</w:t>
            </w:r>
            <w:r>
              <w:rPr>
                <w:rFonts w:hint="eastAsia"/>
                <w:color w:val="auto"/>
                <w:lang w:eastAsia="zh-CN"/>
              </w:rPr>
              <w:t>；</w:t>
            </w:r>
          </w:p>
          <w:p w14:paraId="1A82E18E">
            <w:pPr>
              <w:keepNext w:val="0"/>
              <w:keepLines w:val="0"/>
              <w:widowControl/>
              <w:suppressLineNumbers w:val="0"/>
              <w:jc w:val="left"/>
              <w:textAlignment w:val="center"/>
              <w:rPr>
                <w:rFonts w:hint="eastAsia" w:eastAsiaTheme="minorEastAsia"/>
                <w:color w:val="auto"/>
                <w:lang w:eastAsia="zh-CN"/>
              </w:rPr>
            </w:pPr>
            <w:r>
              <w:rPr>
                <w:rFonts w:hint="eastAsia"/>
                <w:color w:val="auto"/>
                <w:lang w:val="en-US" w:eastAsia="zh-CN"/>
              </w:rPr>
              <w:t>6、</w:t>
            </w:r>
            <w:r>
              <w:rPr>
                <w:rFonts w:hint="eastAsia"/>
                <w:color w:val="auto"/>
              </w:rPr>
              <w:t>▲支持管理员在</w:t>
            </w:r>
            <w:r>
              <w:rPr>
                <w:rFonts w:hint="eastAsia"/>
                <w:color w:val="auto"/>
                <w:lang w:val="en-US" w:eastAsia="zh-CN"/>
              </w:rPr>
              <w:t>已有</w:t>
            </w:r>
            <w:r>
              <w:rPr>
                <w:rFonts w:hint="eastAsia"/>
                <w:color w:val="auto"/>
              </w:rPr>
              <w:t>安全态势感知平台</w:t>
            </w:r>
            <w:r>
              <w:rPr>
                <w:rFonts w:hint="eastAsia"/>
                <w:color w:val="auto"/>
                <w:lang w:val="en-US" w:eastAsia="zh-CN"/>
              </w:rPr>
              <w:t>或IPS或出口防火墙，</w:t>
            </w:r>
            <w:r>
              <w:rPr>
                <w:rFonts w:hint="eastAsia"/>
                <w:color w:val="auto"/>
              </w:rPr>
              <w:t>下发一键隔离指令，对终端恶意文件进行隔离，防止病毒进一步扩散</w:t>
            </w:r>
            <w:r>
              <w:rPr>
                <w:rFonts w:hint="eastAsia"/>
                <w:color w:val="auto"/>
                <w:lang w:eastAsia="zh-CN"/>
              </w:rPr>
              <w:t>；</w:t>
            </w:r>
          </w:p>
          <w:p w14:paraId="17128A2C">
            <w:pPr>
              <w:keepNext w:val="0"/>
              <w:keepLines w:val="0"/>
              <w:widowControl/>
              <w:suppressLineNumbers w:val="0"/>
              <w:jc w:val="left"/>
              <w:textAlignment w:val="center"/>
              <w:rPr>
                <w:rFonts w:hint="eastAsia"/>
                <w:color w:val="auto"/>
              </w:rPr>
            </w:pPr>
            <w:r>
              <w:rPr>
                <w:rFonts w:hint="eastAsia"/>
                <w:color w:val="auto"/>
                <w:lang w:val="en-US" w:eastAsia="zh-CN"/>
              </w:rPr>
              <w:t>7、</w:t>
            </w:r>
            <w:r>
              <w:rPr>
                <w:rFonts w:hint="eastAsia"/>
                <w:color w:val="auto"/>
              </w:rPr>
              <w:t>支持自定义拦截终端软件弹窗，可在终端设置自动拦截骚扰弹窗开关。</w:t>
            </w:r>
          </w:p>
          <w:p w14:paraId="61B76860">
            <w:pPr>
              <w:keepNext w:val="0"/>
              <w:keepLines w:val="0"/>
              <w:widowControl/>
              <w:suppressLineNumbers w:val="0"/>
              <w:jc w:val="left"/>
              <w:textAlignment w:val="center"/>
              <w:rPr>
                <w:rFonts w:hint="eastAsia" w:eastAsiaTheme="minorEastAsia"/>
                <w:color w:val="auto"/>
                <w:lang w:eastAsia="zh-CN"/>
              </w:rPr>
            </w:pPr>
            <w:r>
              <w:rPr>
                <w:rFonts w:hint="eastAsia"/>
                <w:color w:val="auto"/>
                <w:lang w:val="en-US" w:eastAsia="zh-CN"/>
              </w:rPr>
              <w:t>8、</w:t>
            </w:r>
            <w:r>
              <w:rPr>
                <w:rFonts w:hint="eastAsia"/>
                <w:color w:val="auto"/>
              </w:rPr>
              <w:t>支持终端用户一键式垃圾清理功能，通过一键式垃圾清理来缓解终端因为堆积太多缓存导致卡顿的情况</w:t>
            </w:r>
            <w:r>
              <w:rPr>
                <w:rFonts w:hint="eastAsia"/>
                <w:color w:val="auto"/>
                <w:lang w:eastAsia="zh-CN"/>
              </w:rPr>
              <w:t>；</w:t>
            </w:r>
          </w:p>
          <w:p w14:paraId="0000B7E3">
            <w:pPr>
              <w:keepNext w:val="0"/>
              <w:keepLines w:val="0"/>
              <w:widowControl/>
              <w:suppressLineNumbers w:val="0"/>
              <w:jc w:val="left"/>
              <w:textAlignment w:val="center"/>
              <w:rPr>
                <w:rFonts w:hint="eastAsia" w:eastAsiaTheme="minorEastAsia"/>
                <w:color w:val="auto"/>
                <w:lang w:eastAsia="zh-CN"/>
              </w:rPr>
            </w:pPr>
            <w:r>
              <w:rPr>
                <w:rFonts w:hint="eastAsia"/>
                <w:color w:val="auto"/>
                <w:lang w:val="en-US" w:eastAsia="zh-CN"/>
              </w:rPr>
              <w:t>9、</w:t>
            </w:r>
            <w:r>
              <w:rPr>
                <w:rFonts w:hint="eastAsia"/>
                <w:color w:val="auto"/>
              </w:rPr>
              <w:t xml:space="preserve">▲具备针对最新未知的文件，使用IOC特征（文件hash、dns、url、ip等）的技术，进行云端查询。云端的安全中心，使用大数据分析平台，基于多维威胁情报、云端沙箱技术、多引擎扩展的检测技术等，秒级响应未知文件的检测结果。（需提供具备CMA/CNAS资质的权威机构颁发的产品功能检测报告） </w:t>
            </w:r>
            <w:r>
              <w:rPr>
                <w:rFonts w:hint="eastAsia"/>
                <w:color w:val="auto"/>
                <w:lang w:eastAsia="zh-CN"/>
              </w:rPr>
              <w:t>；</w:t>
            </w:r>
          </w:p>
          <w:p w14:paraId="09491461">
            <w:pPr>
              <w:keepNext w:val="0"/>
              <w:keepLines w:val="0"/>
              <w:widowControl/>
              <w:suppressLineNumbers w:val="0"/>
              <w:jc w:val="left"/>
              <w:textAlignment w:val="center"/>
              <w:rPr>
                <w:rFonts w:hint="eastAsia" w:eastAsiaTheme="minorEastAsia"/>
                <w:color w:val="auto"/>
                <w:lang w:eastAsia="zh-CN"/>
              </w:rPr>
            </w:pPr>
            <w:r>
              <w:rPr>
                <w:rFonts w:hint="eastAsia"/>
                <w:color w:val="auto"/>
                <w:lang w:val="en-US" w:eastAsia="zh-CN"/>
              </w:rPr>
              <w:t>10、</w:t>
            </w:r>
            <w:r>
              <w:rPr>
                <w:rFonts w:hint="eastAsia"/>
                <w:color w:val="auto"/>
              </w:rPr>
              <w:t>支持系统屏幕水印功能，灵活定义屏幕水印内容，可设置不透明度、生效范围和生效时间段等，如有敏感信息泄露可以通过水印信息辅助做溯源</w:t>
            </w:r>
            <w:r>
              <w:rPr>
                <w:rFonts w:hint="eastAsia"/>
                <w:color w:val="auto"/>
                <w:lang w:eastAsia="zh-CN"/>
              </w:rPr>
              <w:t>；</w:t>
            </w:r>
          </w:p>
          <w:p w14:paraId="05BD117F">
            <w:pPr>
              <w:keepNext w:val="0"/>
              <w:keepLines w:val="0"/>
              <w:widowControl/>
              <w:suppressLineNumbers w:val="0"/>
              <w:jc w:val="left"/>
              <w:textAlignment w:val="center"/>
              <w:rPr>
                <w:rFonts w:hint="eastAsia" w:eastAsiaTheme="minorEastAsia"/>
                <w:color w:val="auto"/>
                <w:lang w:eastAsia="zh-CN"/>
              </w:rPr>
            </w:pPr>
            <w:r>
              <w:rPr>
                <w:rFonts w:hint="eastAsia"/>
                <w:color w:val="auto"/>
                <w:lang w:val="en-US" w:eastAsia="zh-CN"/>
              </w:rPr>
              <w:t>11、</w:t>
            </w:r>
            <w:r>
              <w:rPr>
                <w:rFonts w:hint="eastAsia"/>
                <w:color w:val="auto"/>
              </w:rPr>
              <w:t>流量线详情支持展示该流量线对应的控制策略；图形化显示服务器间流量关系，包括访问详情、流量趋势等</w:t>
            </w:r>
            <w:r>
              <w:rPr>
                <w:rFonts w:hint="eastAsia"/>
                <w:color w:val="auto"/>
                <w:lang w:eastAsia="zh-CN"/>
              </w:rPr>
              <w:t>；</w:t>
            </w:r>
          </w:p>
          <w:p w14:paraId="6F942E5D">
            <w:pPr>
              <w:keepNext w:val="0"/>
              <w:keepLines w:val="0"/>
              <w:widowControl/>
              <w:suppressLineNumbers w:val="0"/>
              <w:jc w:val="left"/>
              <w:textAlignment w:val="center"/>
              <w:rPr>
                <w:rFonts w:hint="eastAsia" w:eastAsiaTheme="minorEastAsia"/>
                <w:color w:val="auto"/>
                <w:lang w:eastAsia="zh-CN"/>
              </w:rPr>
            </w:pPr>
            <w:r>
              <w:rPr>
                <w:rFonts w:hint="eastAsia"/>
                <w:color w:val="auto"/>
                <w:lang w:val="en-US" w:eastAsia="zh-CN"/>
              </w:rPr>
              <w:t>12、</w:t>
            </w:r>
            <w:r>
              <w:rPr>
                <w:rFonts w:hint="eastAsia"/>
                <w:color w:val="auto"/>
              </w:rPr>
              <w:t>一键式操作对指定终端/终端组进行合规性检查，包括身份鉴别、访问控制、安全审计、剩余信息保护、入侵防范、恶意代码防范，对不合规的检查项提供设置建议，并可视化展示终端的基线合规检查结果</w:t>
            </w:r>
            <w:r>
              <w:rPr>
                <w:rFonts w:hint="eastAsia"/>
                <w:color w:val="auto"/>
                <w:lang w:eastAsia="zh-CN"/>
              </w:rPr>
              <w:t>；</w:t>
            </w:r>
          </w:p>
          <w:p w14:paraId="61B3D77C">
            <w:pPr>
              <w:keepNext w:val="0"/>
              <w:keepLines w:val="0"/>
              <w:widowControl/>
              <w:suppressLineNumbers w:val="0"/>
              <w:jc w:val="left"/>
              <w:textAlignment w:val="center"/>
              <w:rPr>
                <w:rFonts w:hint="eastAsia"/>
                <w:color w:val="auto"/>
              </w:rPr>
            </w:pPr>
            <w:r>
              <w:rPr>
                <w:rFonts w:hint="eastAsia"/>
                <w:color w:val="auto"/>
                <w:lang w:val="en-US" w:eastAsia="zh-CN"/>
              </w:rPr>
              <w:t>13、</w:t>
            </w:r>
            <w:r>
              <w:rPr>
                <w:rFonts w:hint="eastAsia"/>
                <w:color w:val="auto"/>
              </w:rPr>
              <w:t>▲支持展示全球热点风险事件在网内终端的爆发情况，及时了解、处置网内终端的热点风险事件，并显示影响终端数量。（需提供具备CNAS、CMA资质的权威测试机构的测试报告）</w:t>
            </w:r>
          </w:p>
          <w:p w14:paraId="1AD38EF7">
            <w:pPr>
              <w:keepNext w:val="0"/>
              <w:keepLines w:val="0"/>
              <w:widowControl/>
              <w:suppressLineNumbers w:val="0"/>
              <w:jc w:val="left"/>
              <w:textAlignment w:val="center"/>
              <w:rPr>
                <w:rFonts w:hint="eastAsia" w:eastAsiaTheme="minorEastAsia"/>
                <w:color w:val="auto"/>
                <w:lang w:eastAsia="zh-CN"/>
              </w:rPr>
            </w:pPr>
            <w:r>
              <w:rPr>
                <w:rFonts w:hint="eastAsia"/>
                <w:color w:val="auto"/>
                <w:lang w:val="en-US" w:eastAsia="zh-CN"/>
              </w:rPr>
              <w:t>14、</w:t>
            </w:r>
            <w:r>
              <w:rPr>
                <w:rFonts w:hint="eastAsia"/>
                <w:color w:val="auto"/>
              </w:rPr>
              <w:t>支持对系统账号信息进行梳理，了解账号权限分布概况以及风险账号分布情况，可按照隐藏账号、可疑root权限账号、长期未使用账号、夜间登录、多IP登录进行账号分类查看，支持统计最近一年未修改密码的账户</w:t>
            </w:r>
            <w:r>
              <w:rPr>
                <w:rFonts w:hint="eastAsia"/>
                <w:color w:val="auto"/>
                <w:lang w:eastAsia="zh-CN"/>
              </w:rPr>
              <w:t>；</w:t>
            </w:r>
          </w:p>
          <w:p w14:paraId="11C17040">
            <w:pPr>
              <w:keepNext w:val="0"/>
              <w:keepLines w:val="0"/>
              <w:widowControl/>
              <w:suppressLineNumbers w:val="0"/>
              <w:jc w:val="left"/>
              <w:textAlignment w:val="center"/>
              <w:rPr>
                <w:rFonts w:hint="eastAsia" w:eastAsiaTheme="minorEastAsia"/>
                <w:color w:val="auto"/>
                <w:lang w:eastAsia="zh-CN"/>
              </w:rPr>
            </w:pPr>
            <w:r>
              <w:rPr>
                <w:rFonts w:hint="eastAsia"/>
                <w:color w:val="auto"/>
                <w:lang w:val="en-US" w:eastAsia="zh-CN"/>
              </w:rPr>
              <w:t>15、</w:t>
            </w:r>
            <w:r>
              <w:rPr>
                <w:rFonts w:hint="eastAsia"/>
                <w:color w:val="auto"/>
              </w:rPr>
              <w:t>支持展示终端检测到的WebShell事件及事件详情，包括：恶意文件名称，威胁等级，受感染的文件，发现时间，检测引擎，文件类型，文件名，文件Hash值，文件大小，文件创建时间；可配置WebShell实时扫描，一旦发现WebShell文件，可自动隔离或仅上报不隔离</w:t>
            </w:r>
            <w:r>
              <w:rPr>
                <w:rFonts w:hint="eastAsia"/>
                <w:color w:val="auto"/>
                <w:lang w:eastAsia="zh-CN"/>
              </w:rPr>
              <w:t>。</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2D16A">
            <w:pPr>
              <w:keepNext w:val="0"/>
              <w:keepLines w:val="0"/>
              <w:widowControl/>
              <w:suppressLineNumbers w:val="0"/>
              <w:jc w:val="left"/>
              <w:textAlignment w:val="center"/>
              <w:rPr>
                <w:rFonts w:hint="eastAsia" w:asciiTheme="majorEastAsia" w:hAnsiTheme="majorEastAsia" w:eastAsiaTheme="majorEastAsia" w:cstheme="majorEastAsia"/>
                <w:i w:val="0"/>
                <w:iCs w:val="0"/>
                <w:color w:val="auto"/>
                <w:kern w:val="2"/>
                <w:sz w:val="22"/>
                <w:szCs w:val="22"/>
                <w:u w:val="none"/>
                <w:lang w:val="en-US" w:eastAsia="zh-CN" w:bidi="ar-SA"/>
              </w:rPr>
            </w:pPr>
            <w:r>
              <w:rPr>
                <w:rFonts w:hint="eastAsia" w:asciiTheme="majorEastAsia" w:hAnsiTheme="majorEastAsia" w:eastAsiaTheme="majorEastAsia" w:cstheme="majorEastAsia"/>
                <w:i w:val="0"/>
                <w:iCs w:val="0"/>
                <w:color w:val="auto"/>
                <w:kern w:val="0"/>
                <w:sz w:val="22"/>
                <w:szCs w:val="22"/>
                <w:u w:val="none"/>
                <w:lang w:val="en-US" w:eastAsia="zh-CN" w:bidi="ar"/>
              </w:rPr>
              <w:t>套</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FF98A">
            <w:pPr>
              <w:keepNext w:val="0"/>
              <w:keepLines w:val="0"/>
              <w:widowControl/>
              <w:suppressLineNumbers w:val="0"/>
              <w:jc w:val="both"/>
              <w:textAlignment w:val="center"/>
              <w:rPr>
                <w:rFonts w:hint="default" w:asciiTheme="majorEastAsia" w:hAnsiTheme="majorEastAsia" w:eastAsiaTheme="majorEastAsia" w:cstheme="majorEastAsia"/>
                <w:i w:val="0"/>
                <w:iCs w:val="0"/>
                <w:color w:val="auto"/>
                <w:kern w:val="2"/>
                <w:sz w:val="22"/>
                <w:szCs w:val="22"/>
                <w:u w:val="none"/>
                <w:lang w:val="en-US" w:eastAsia="zh-CN" w:bidi="ar-SA"/>
              </w:rPr>
            </w:pPr>
            <w:r>
              <w:rPr>
                <w:rFonts w:hint="eastAsia" w:asciiTheme="majorEastAsia" w:hAnsiTheme="majorEastAsia" w:eastAsiaTheme="majorEastAsia" w:cstheme="majorEastAsia"/>
                <w:i w:val="0"/>
                <w:iCs w:val="0"/>
                <w:color w:val="auto"/>
                <w:kern w:val="2"/>
                <w:sz w:val="22"/>
                <w:szCs w:val="22"/>
                <w:u w:val="none"/>
                <w:lang w:val="en-US" w:eastAsia="zh-CN" w:bidi="ar-SA"/>
              </w:rPr>
              <w:t>110</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7A36E">
            <w:pPr>
              <w:keepNext w:val="0"/>
              <w:keepLines w:val="0"/>
              <w:widowControl/>
              <w:suppressLineNumbers w:val="0"/>
              <w:jc w:val="both"/>
              <w:textAlignment w:val="center"/>
              <w:rPr>
                <w:rFonts w:hint="default" w:asciiTheme="majorEastAsia" w:hAnsiTheme="majorEastAsia" w:eastAsiaTheme="majorEastAsia" w:cstheme="majorEastAsia"/>
                <w:i w:val="0"/>
                <w:iCs w:val="0"/>
                <w:color w:val="auto"/>
                <w:kern w:val="0"/>
                <w:sz w:val="22"/>
                <w:szCs w:val="22"/>
                <w:u w:val="none"/>
                <w:lang w:val="en-US" w:eastAsia="zh-CN" w:bidi="ar"/>
              </w:rPr>
            </w:pPr>
            <w:r>
              <w:rPr>
                <w:rFonts w:hint="eastAsia" w:asciiTheme="majorEastAsia" w:hAnsiTheme="majorEastAsia" w:eastAsiaTheme="majorEastAsia" w:cstheme="majorEastAsia"/>
                <w:i w:val="0"/>
                <w:iCs w:val="0"/>
                <w:color w:val="auto"/>
                <w:kern w:val="0"/>
                <w:sz w:val="22"/>
                <w:szCs w:val="22"/>
                <w:u w:val="none"/>
                <w:lang w:val="en-US" w:eastAsia="zh-CN" w:bidi="ar"/>
              </w:rPr>
              <w:t>0.027</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8C010C">
            <w:pPr>
              <w:keepNext w:val="0"/>
              <w:keepLines w:val="0"/>
              <w:widowControl/>
              <w:suppressLineNumbers w:val="0"/>
              <w:jc w:val="both"/>
              <w:textAlignment w:val="center"/>
              <w:rPr>
                <w:rFonts w:hint="default" w:asciiTheme="majorEastAsia" w:hAnsiTheme="majorEastAsia" w:eastAsiaTheme="majorEastAsia" w:cstheme="majorEastAsia"/>
                <w:i w:val="0"/>
                <w:iCs w:val="0"/>
                <w:color w:val="auto"/>
                <w:kern w:val="0"/>
                <w:sz w:val="22"/>
                <w:szCs w:val="22"/>
                <w:u w:val="none"/>
                <w:lang w:val="en-US" w:eastAsia="zh-CN" w:bidi="ar"/>
              </w:rPr>
            </w:pPr>
            <w:r>
              <w:rPr>
                <w:rFonts w:hint="eastAsia" w:asciiTheme="majorEastAsia" w:hAnsiTheme="majorEastAsia" w:eastAsiaTheme="majorEastAsia" w:cstheme="majorEastAsia"/>
                <w:i w:val="0"/>
                <w:iCs w:val="0"/>
                <w:color w:val="auto"/>
                <w:kern w:val="0"/>
                <w:sz w:val="22"/>
                <w:szCs w:val="22"/>
                <w:u w:val="none"/>
                <w:lang w:val="en-US" w:eastAsia="zh-CN" w:bidi="ar"/>
              </w:rPr>
              <w:t>3</w:t>
            </w:r>
          </w:p>
        </w:tc>
      </w:tr>
      <w:tr w14:paraId="4C1E7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A83AB">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08DF5">
            <w:pPr>
              <w:keepNext w:val="0"/>
              <w:keepLines w:val="0"/>
              <w:widowControl/>
              <w:suppressLineNumbers w:val="0"/>
              <w:jc w:val="center"/>
              <w:textAlignment w:val="center"/>
              <w:rPr>
                <w:rFonts w:hint="default" w:asciiTheme="majorEastAsia" w:hAnsiTheme="majorEastAsia" w:eastAsiaTheme="majorEastAsia" w:cstheme="majorEastAsia"/>
                <w:i w:val="0"/>
                <w:iCs w:val="0"/>
                <w:color w:val="auto"/>
                <w:sz w:val="22"/>
                <w:szCs w:val="22"/>
                <w:u w:val="none"/>
                <w:lang w:val="en-US" w:eastAsia="zh-CN"/>
              </w:rPr>
            </w:pPr>
            <w:r>
              <w:rPr>
                <w:rFonts w:hint="eastAsia" w:asciiTheme="majorEastAsia" w:hAnsiTheme="majorEastAsia" w:eastAsiaTheme="majorEastAsia" w:cstheme="majorEastAsia"/>
                <w:i w:val="0"/>
                <w:iCs w:val="0"/>
                <w:color w:val="auto"/>
                <w:sz w:val="22"/>
                <w:szCs w:val="22"/>
                <w:u w:val="none"/>
                <w:lang w:val="en-US" w:eastAsia="zh-CN"/>
              </w:rPr>
              <w:t>认证平台</w:t>
            </w:r>
          </w:p>
        </w:tc>
        <w:tc>
          <w:tcPr>
            <w:tcW w:w="84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0C83B">
            <w:pPr>
              <w:keepNext w:val="0"/>
              <w:keepLines w:val="0"/>
              <w:widowControl/>
              <w:suppressLineNumbers w:val="0"/>
              <w:jc w:val="left"/>
              <w:textAlignment w:val="center"/>
              <w:rPr>
                <w:rFonts w:hint="eastAsia" w:eastAsiaTheme="minorEastAsia"/>
                <w:color w:val="auto"/>
                <w:lang w:eastAsia="zh-CN"/>
              </w:rPr>
            </w:pPr>
            <w:r>
              <w:rPr>
                <w:rFonts w:hint="eastAsia"/>
                <w:color w:val="auto"/>
              </w:rPr>
              <w:t>1、802.1x和Portal认证自适应：客户端支持802.1x和Portal认证自适应，无需用户手工切换即可自动感知接入类型</w:t>
            </w:r>
            <w:r>
              <w:rPr>
                <w:rFonts w:hint="eastAsia"/>
                <w:color w:val="auto"/>
                <w:lang w:eastAsia="zh-CN"/>
              </w:rPr>
              <w:t>；</w:t>
            </w:r>
          </w:p>
          <w:p w14:paraId="2066AA88">
            <w:pPr>
              <w:keepNext w:val="0"/>
              <w:keepLines w:val="0"/>
              <w:widowControl/>
              <w:suppressLineNumbers w:val="0"/>
              <w:jc w:val="left"/>
              <w:textAlignment w:val="center"/>
              <w:rPr>
                <w:rFonts w:hint="eastAsia" w:eastAsiaTheme="minorEastAsia"/>
                <w:color w:val="auto"/>
                <w:lang w:eastAsia="zh-CN"/>
              </w:rPr>
            </w:pPr>
            <w:r>
              <w:rPr>
                <w:rFonts w:hint="eastAsia"/>
                <w:color w:val="auto"/>
              </w:rPr>
              <w:t>2、★多因子身份验证：包括但不限于静态密码、动态口令(硬令牌、软令牌等)、短信、USBKey、数字证书等方式的认证及多种方式的组合鉴别。系统集成软令牌能力，无需第三方动态令牌系统支持即可实现动态口令认证，且软令牌支持国密算法，提供截图证明</w:t>
            </w:r>
            <w:r>
              <w:rPr>
                <w:rFonts w:hint="eastAsia"/>
                <w:color w:val="auto"/>
                <w:lang w:eastAsia="zh-CN"/>
              </w:rPr>
              <w:t>；</w:t>
            </w:r>
          </w:p>
          <w:p w14:paraId="61A50FB0">
            <w:pPr>
              <w:keepNext w:val="0"/>
              <w:keepLines w:val="0"/>
              <w:widowControl/>
              <w:suppressLineNumbers w:val="0"/>
              <w:jc w:val="left"/>
              <w:textAlignment w:val="center"/>
              <w:rPr>
                <w:rFonts w:hint="eastAsia" w:eastAsiaTheme="minorEastAsia"/>
                <w:color w:val="auto"/>
                <w:lang w:eastAsia="zh-CN"/>
              </w:rPr>
            </w:pPr>
            <w:r>
              <w:rPr>
                <w:rFonts w:hint="eastAsia"/>
                <w:color w:val="auto"/>
                <w:lang w:val="en-US" w:eastAsia="zh-CN"/>
              </w:rPr>
              <w:t>3</w:t>
            </w:r>
            <w:r>
              <w:rPr>
                <w:rFonts w:hint="eastAsia"/>
                <w:color w:val="auto"/>
              </w:rPr>
              <w:t>、★基于网络设备的动态授权：用户的接入权限，可以在认证通过后下发给接入设备，由设备动态控制用户的访问权限，限制用户对内部敏感服务器和外部非法网站的访问。授权能力包括 VLAN、ACL、带宽、OoS(用户队列模板)、用户组等。支持下发 DACL(动态 ACL)，认证后可以直接下发 ACL 规则给接入设备，无需通过获取网络设备管理权限进行设备配置变更，提供截图证明</w:t>
            </w:r>
            <w:r>
              <w:rPr>
                <w:rFonts w:hint="eastAsia"/>
                <w:color w:val="auto"/>
                <w:lang w:eastAsia="zh-CN"/>
              </w:rPr>
              <w:t>；</w:t>
            </w:r>
          </w:p>
          <w:p w14:paraId="296E881A">
            <w:pPr>
              <w:keepNext w:val="0"/>
              <w:keepLines w:val="0"/>
              <w:widowControl/>
              <w:suppressLineNumbers w:val="0"/>
              <w:jc w:val="left"/>
              <w:textAlignment w:val="center"/>
              <w:rPr>
                <w:rFonts w:hint="eastAsia" w:eastAsiaTheme="minorEastAsia"/>
                <w:color w:val="auto"/>
                <w:lang w:eastAsia="zh-CN"/>
              </w:rPr>
            </w:pPr>
            <w:r>
              <w:rPr>
                <w:rFonts w:hint="eastAsia"/>
                <w:color w:val="auto"/>
                <w:lang w:val="en-US" w:eastAsia="zh-CN"/>
              </w:rPr>
              <w:t>4</w:t>
            </w:r>
            <w:r>
              <w:rPr>
                <w:rFonts w:hint="eastAsia"/>
                <w:color w:val="auto"/>
              </w:rPr>
              <w:t>、在线用户管理能力：可以在线查看用户状态及其所连接的网络设备信息，如此用户接入的登录名称、登录设备IP、设备端口、终端信息、在线会话信息、接入开始时间、接入持续时长、安全状态等，对非法用户可以执行发送消息、在线检查、强制下线、加入黑名单等操作</w:t>
            </w:r>
            <w:r>
              <w:rPr>
                <w:rFonts w:hint="eastAsia"/>
                <w:color w:val="auto"/>
                <w:lang w:eastAsia="zh-CN"/>
              </w:rPr>
              <w:t>；</w:t>
            </w:r>
          </w:p>
          <w:p w14:paraId="3B8E7B91">
            <w:pPr>
              <w:keepNext w:val="0"/>
              <w:keepLines w:val="0"/>
              <w:widowControl/>
              <w:suppressLineNumbers w:val="0"/>
              <w:jc w:val="left"/>
              <w:textAlignment w:val="center"/>
              <w:rPr>
                <w:rFonts w:hint="eastAsia" w:eastAsiaTheme="minorEastAsia"/>
                <w:color w:val="auto"/>
                <w:lang w:eastAsia="zh-CN"/>
              </w:rPr>
            </w:pPr>
            <w:r>
              <w:rPr>
                <w:rFonts w:hint="eastAsia"/>
                <w:color w:val="auto"/>
                <w:lang w:val="en-US" w:eastAsia="zh-CN"/>
              </w:rPr>
              <w:t>5</w:t>
            </w:r>
            <w:r>
              <w:rPr>
                <w:rFonts w:hint="eastAsia"/>
                <w:color w:val="auto"/>
              </w:rPr>
              <w:t>、支持限定终端设备入网后单次最大在线时长、最大闲置时长、单日累计接入时长；支持限定单账号最大绑定终端数、最大在线终端数</w:t>
            </w:r>
            <w:r>
              <w:rPr>
                <w:rFonts w:hint="eastAsia"/>
                <w:color w:val="auto"/>
                <w:lang w:eastAsia="zh-CN"/>
              </w:rPr>
              <w:t>；</w:t>
            </w:r>
          </w:p>
          <w:p w14:paraId="45961FC8">
            <w:pPr>
              <w:keepNext w:val="0"/>
              <w:keepLines w:val="0"/>
              <w:widowControl/>
              <w:suppressLineNumbers w:val="0"/>
              <w:jc w:val="left"/>
              <w:textAlignment w:val="center"/>
              <w:rPr>
                <w:rFonts w:hint="eastAsia" w:eastAsiaTheme="minorEastAsia"/>
                <w:color w:val="auto"/>
                <w:lang w:eastAsia="zh-CN"/>
              </w:rPr>
            </w:pPr>
            <w:r>
              <w:rPr>
                <w:rFonts w:hint="eastAsia"/>
                <w:color w:val="auto"/>
                <w:lang w:val="en-US" w:eastAsia="zh-CN"/>
              </w:rPr>
              <w:t>6</w:t>
            </w:r>
            <w:r>
              <w:rPr>
                <w:rFonts w:hint="eastAsia"/>
                <w:color w:val="auto"/>
              </w:rPr>
              <w:t>、多种终端识别技术：支持通过客户端、DHCP、HTTP、MAC地址等技术准确识别接入网络的终端厂商、终端类型和操作系统信息</w:t>
            </w:r>
            <w:r>
              <w:rPr>
                <w:rFonts w:hint="eastAsia"/>
                <w:color w:val="auto"/>
                <w:lang w:eastAsia="zh-CN"/>
              </w:rPr>
              <w:t>；</w:t>
            </w:r>
          </w:p>
          <w:p w14:paraId="11A889A1">
            <w:pPr>
              <w:keepNext w:val="0"/>
              <w:keepLines w:val="0"/>
              <w:widowControl/>
              <w:suppressLineNumbers w:val="0"/>
              <w:jc w:val="left"/>
              <w:textAlignment w:val="center"/>
              <w:rPr>
                <w:rFonts w:hint="eastAsia"/>
                <w:color w:val="auto"/>
                <w:lang w:val="en-US" w:eastAsia="zh-CN"/>
              </w:rPr>
            </w:pPr>
            <w:r>
              <w:rPr>
                <w:rFonts w:hint="eastAsia"/>
                <w:color w:val="auto"/>
                <w:lang w:val="en-US" w:eastAsia="zh-CN"/>
              </w:rPr>
              <w:t>7、提供Web方式的Portal认证；</w:t>
            </w:r>
          </w:p>
          <w:p w14:paraId="1E4F43B4">
            <w:pPr>
              <w:keepNext w:val="0"/>
              <w:keepLines w:val="0"/>
              <w:widowControl/>
              <w:suppressLineNumbers w:val="0"/>
              <w:jc w:val="left"/>
              <w:textAlignment w:val="center"/>
              <w:rPr>
                <w:rFonts w:hint="eastAsia"/>
                <w:color w:val="auto"/>
                <w:lang w:val="en-US" w:eastAsia="zh-CN"/>
              </w:rPr>
            </w:pPr>
            <w:r>
              <w:rPr>
                <w:rFonts w:hint="eastAsia"/>
                <w:color w:val="auto"/>
                <w:lang w:val="en-US" w:eastAsia="zh-CN"/>
              </w:rPr>
              <w:t>8、提供Web自助平台，实现用户自助通过邮件、短信等方法重置密码；</w:t>
            </w:r>
          </w:p>
          <w:p w14:paraId="2885F0D0">
            <w:pPr>
              <w:keepNext w:val="0"/>
              <w:keepLines w:val="0"/>
              <w:widowControl/>
              <w:suppressLineNumbers w:val="0"/>
              <w:jc w:val="left"/>
              <w:textAlignment w:val="center"/>
              <w:rPr>
                <w:rFonts w:hint="eastAsia"/>
                <w:color w:val="auto"/>
                <w:lang w:val="en-US" w:eastAsia="zh-CN"/>
              </w:rPr>
            </w:pPr>
            <w:r>
              <w:rPr>
                <w:rFonts w:hint="eastAsia"/>
                <w:color w:val="auto"/>
                <w:lang w:val="en-US" w:eastAsia="zh-CN"/>
              </w:rPr>
              <w:t>9、</w:t>
            </w:r>
            <w:r>
              <w:rPr>
                <w:rFonts w:hint="default" w:ascii="宋体" w:hAnsi="宋体" w:eastAsia="宋体" w:cs="宋体"/>
                <w:i w:val="0"/>
                <w:iCs w:val="0"/>
                <w:color w:val="auto"/>
                <w:sz w:val="22"/>
                <w:szCs w:val="22"/>
                <w:u w:val="none"/>
                <w:lang w:val="en-US" w:eastAsia="zh-CN"/>
              </w:rPr>
              <w:t>▲</w:t>
            </w:r>
            <w:r>
              <w:rPr>
                <w:rFonts w:hint="eastAsia"/>
                <w:color w:val="auto"/>
                <w:lang w:val="en-US" w:eastAsia="zh-CN"/>
              </w:rPr>
              <w:t>读取学校统一身份认证平台用户信息，并能实现通过Web Portal方式认证；</w:t>
            </w:r>
          </w:p>
          <w:p w14:paraId="569999D4">
            <w:pPr>
              <w:keepNext w:val="0"/>
              <w:keepLines w:val="0"/>
              <w:widowControl/>
              <w:suppressLineNumbers w:val="0"/>
              <w:jc w:val="left"/>
              <w:textAlignment w:val="center"/>
              <w:rPr>
                <w:rFonts w:hint="eastAsia"/>
                <w:color w:val="auto"/>
                <w:lang w:val="en-US" w:eastAsia="zh-CN"/>
              </w:rPr>
            </w:pPr>
            <w:r>
              <w:rPr>
                <w:rFonts w:hint="eastAsia"/>
                <w:color w:val="auto"/>
                <w:lang w:val="en-US" w:eastAsia="zh-CN"/>
              </w:rPr>
              <w:t>10、</w:t>
            </w:r>
            <w:r>
              <w:rPr>
                <w:rFonts w:hint="default" w:ascii="宋体" w:hAnsi="宋体" w:eastAsia="宋体" w:cs="宋体"/>
                <w:i w:val="0"/>
                <w:iCs w:val="0"/>
                <w:color w:val="auto"/>
                <w:sz w:val="22"/>
                <w:szCs w:val="22"/>
                <w:u w:val="none"/>
                <w:lang w:val="en-US" w:eastAsia="zh-CN"/>
              </w:rPr>
              <w:t>▲</w:t>
            </w:r>
            <w:r>
              <w:rPr>
                <w:rFonts w:hint="eastAsia"/>
                <w:color w:val="auto"/>
                <w:lang w:val="en-US" w:eastAsia="zh-CN"/>
              </w:rPr>
              <w:t>在无线网络中，用户通过Web方式认证，通过后，认证平台自动向天融信行为管理服务器发起单点登录请求，实现接入校园无线网、访问内网资源、访问互联网；</w:t>
            </w:r>
          </w:p>
          <w:p w14:paraId="60236528">
            <w:pPr>
              <w:keepNext w:val="0"/>
              <w:keepLines w:val="0"/>
              <w:widowControl/>
              <w:suppressLineNumbers w:val="0"/>
              <w:jc w:val="left"/>
              <w:textAlignment w:val="center"/>
              <w:rPr>
                <w:rFonts w:hint="eastAsia"/>
                <w:color w:val="auto"/>
                <w:lang w:val="en-US" w:eastAsia="zh-CN"/>
              </w:rPr>
            </w:pPr>
            <w:r>
              <w:rPr>
                <w:rFonts w:hint="eastAsia"/>
                <w:color w:val="auto"/>
                <w:lang w:val="en-US" w:eastAsia="zh-CN"/>
              </w:rPr>
              <w:t>11、</w:t>
            </w:r>
            <w:r>
              <w:rPr>
                <w:rFonts w:hint="default" w:ascii="宋体" w:hAnsi="宋体" w:eastAsia="宋体" w:cs="宋体"/>
                <w:i w:val="0"/>
                <w:iCs w:val="0"/>
                <w:color w:val="auto"/>
                <w:sz w:val="22"/>
                <w:szCs w:val="22"/>
                <w:u w:val="none"/>
                <w:lang w:val="en-US" w:eastAsia="zh-CN"/>
              </w:rPr>
              <w:t>▲</w:t>
            </w:r>
            <w:r>
              <w:rPr>
                <w:rFonts w:hint="eastAsia"/>
                <w:color w:val="auto"/>
                <w:lang w:val="en-US" w:eastAsia="zh-CN"/>
              </w:rPr>
              <w:t>在有线网络中，需要配置天融信行为管理服务器，实现与该认证系统融合，认证成功后，允许访问互联网，并完成在天融信行为管理服务器中的单点登录；</w:t>
            </w:r>
          </w:p>
          <w:p w14:paraId="7310A658">
            <w:pPr>
              <w:keepNext w:val="0"/>
              <w:keepLines w:val="0"/>
              <w:widowControl/>
              <w:suppressLineNumbers w:val="0"/>
              <w:jc w:val="left"/>
              <w:textAlignment w:val="center"/>
              <w:rPr>
                <w:rFonts w:hint="default"/>
                <w:color w:val="auto"/>
                <w:lang w:val="en-US" w:eastAsia="zh-CN"/>
              </w:rPr>
            </w:pPr>
            <w:r>
              <w:rPr>
                <w:rFonts w:hint="eastAsia"/>
                <w:color w:val="auto"/>
                <w:lang w:val="en-US" w:eastAsia="zh-CN"/>
              </w:rPr>
              <w:t>12、</w:t>
            </w:r>
            <w:r>
              <w:rPr>
                <w:rFonts w:hint="default" w:ascii="宋体" w:hAnsi="宋体" w:eastAsia="宋体" w:cs="宋体"/>
                <w:i w:val="0"/>
                <w:iCs w:val="0"/>
                <w:color w:val="auto"/>
                <w:sz w:val="22"/>
                <w:szCs w:val="22"/>
                <w:u w:val="none"/>
                <w:lang w:val="en-US" w:eastAsia="zh-CN"/>
              </w:rPr>
              <w:t>▲</w:t>
            </w:r>
            <w:r>
              <w:rPr>
                <w:rFonts w:hint="eastAsia"/>
                <w:color w:val="auto"/>
                <w:lang w:val="en-US" w:eastAsia="zh-CN"/>
              </w:rPr>
              <w:t>允许全校两个校区，≥5000人同时在有线网络、无线网络中，完成身份认证，实现授权联网；</w:t>
            </w:r>
          </w:p>
          <w:p w14:paraId="0FCD4429">
            <w:pPr>
              <w:keepNext w:val="0"/>
              <w:keepLines w:val="0"/>
              <w:widowControl/>
              <w:suppressLineNumbers w:val="0"/>
              <w:jc w:val="left"/>
              <w:textAlignment w:val="center"/>
              <w:rPr>
                <w:rFonts w:hint="eastAsia"/>
                <w:color w:val="auto"/>
              </w:rPr>
            </w:pPr>
            <w:r>
              <w:rPr>
                <w:rFonts w:hint="eastAsia"/>
                <w:color w:val="auto"/>
                <w:lang w:val="en-US" w:eastAsia="zh-CN"/>
              </w:rPr>
              <w:t>13、</w:t>
            </w:r>
            <w:r>
              <w:rPr>
                <w:rFonts w:hint="default" w:ascii="宋体" w:hAnsi="宋体" w:eastAsia="宋体" w:cs="宋体"/>
                <w:i w:val="0"/>
                <w:iCs w:val="0"/>
                <w:color w:val="auto"/>
                <w:sz w:val="22"/>
                <w:szCs w:val="22"/>
                <w:u w:val="none"/>
                <w:lang w:val="en-US" w:eastAsia="zh-CN"/>
              </w:rPr>
              <w:t>★</w:t>
            </w:r>
            <w:r>
              <w:rPr>
                <w:rFonts w:hint="eastAsia"/>
                <w:color w:val="auto"/>
                <w:lang w:val="en-US" w:eastAsia="zh-CN"/>
              </w:rPr>
              <w:t>对现有网管平台增加≥200个终端的智能管理平台授权。</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9B735">
            <w:pPr>
              <w:keepNext w:val="0"/>
              <w:keepLines w:val="0"/>
              <w:widowControl/>
              <w:suppressLineNumbers w:val="0"/>
              <w:jc w:val="left"/>
              <w:textAlignment w:val="center"/>
              <w:rPr>
                <w:rFonts w:hint="eastAsia" w:asciiTheme="majorEastAsia" w:hAnsiTheme="majorEastAsia" w:eastAsiaTheme="majorEastAsia" w:cstheme="majorEastAsia"/>
                <w:i w:val="0"/>
                <w:iCs w:val="0"/>
                <w:color w:val="auto"/>
                <w:kern w:val="2"/>
                <w:sz w:val="22"/>
                <w:szCs w:val="22"/>
                <w:u w:val="none"/>
                <w:lang w:val="en-US" w:eastAsia="zh-CN" w:bidi="ar-SA"/>
              </w:rPr>
            </w:pPr>
            <w:r>
              <w:rPr>
                <w:rFonts w:hint="eastAsia" w:asciiTheme="majorEastAsia" w:hAnsiTheme="majorEastAsia" w:eastAsiaTheme="majorEastAsia" w:cstheme="majorEastAsia"/>
                <w:i w:val="0"/>
                <w:iCs w:val="0"/>
                <w:color w:val="auto"/>
                <w:kern w:val="0"/>
                <w:sz w:val="22"/>
                <w:szCs w:val="22"/>
                <w:u w:val="none"/>
                <w:lang w:val="en-US" w:eastAsia="zh-CN" w:bidi="ar"/>
              </w:rPr>
              <w:t>套</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2705A">
            <w:pPr>
              <w:keepNext w:val="0"/>
              <w:keepLines w:val="0"/>
              <w:widowControl/>
              <w:suppressLineNumbers w:val="0"/>
              <w:jc w:val="both"/>
              <w:textAlignment w:val="center"/>
              <w:rPr>
                <w:rFonts w:hint="eastAsia" w:asciiTheme="majorEastAsia" w:hAnsiTheme="majorEastAsia" w:eastAsiaTheme="majorEastAsia" w:cstheme="majorEastAsia"/>
                <w:i w:val="0"/>
                <w:iCs w:val="0"/>
                <w:color w:val="auto"/>
                <w:kern w:val="2"/>
                <w:sz w:val="22"/>
                <w:szCs w:val="22"/>
                <w:u w:val="none"/>
                <w:lang w:val="en-US" w:eastAsia="zh-CN" w:bidi="ar-SA"/>
              </w:rPr>
            </w:pPr>
            <w:r>
              <w:rPr>
                <w:rFonts w:hint="eastAsia" w:asciiTheme="majorEastAsia" w:hAnsiTheme="majorEastAsia" w:eastAsiaTheme="majorEastAsia" w:cstheme="majorEastAsia"/>
                <w:i w:val="0"/>
                <w:iCs w:val="0"/>
                <w:color w:val="auto"/>
                <w:kern w:val="2"/>
                <w:sz w:val="22"/>
                <w:szCs w:val="22"/>
                <w:u w:val="none"/>
                <w:lang w:val="en-US" w:eastAsia="zh-CN" w:bidi="ar-SA"/>
              </w:rPr>
              <w:t>1</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66BB0">
            <w:pPr>
              <w:keepNext w:val="0"/>
              <w:keepLines w:val="0"/>
              <w:widowControl/>
              <w:suppressLineNumbers w:val="0"/>
              <w:jc w:val="both"/>
              <w:textAlignment w:val="center"/>
              <w:rPr>
                <w:rFonts w:hint="default" w:asciiTheme="majorEastAsia" w:hAnsiTheme="majorEastAsia" w:eastAsiaTheme="majorEastAsia" w:cstheme="majorEastAsia"/>
                <w:i w:val="0"/>
                <w:iCs w:val="0"/>
                <w:color w:val="auto"/>
                <w:kern w:val="0"/>
                <w:sz w:val="22"/>
                <w:szCs w:val="22"/>
                <w:u w:val="none"/>
                <w:lang w:val="en-US" w:eastAsia="zh-CN" w:bidi="ar"/>
              </w:rPr>
            </w:pPr>
            <w:r>
              <w:rPr>
                <w:rFonts w:hint="eastAsia" w:asciiTheme="majorEastAsia" w:hAnsiTheme="majorEastAsia" w:eastAsiaTheme="majorEastAsia" w:cstheme="majorEastAsia"/>
                <w:i w:val="0"/>
                <w:iCs w:val="0"/>
                <w:color w:val="auto"/>
                <w:kern w:val="0"/>
                <w:sz w:val="22"/>
                <w:szCs w:val="22"/>
                <w:u w:val="none"/>
                <w:lang w:val="en-US" w:eastAsia="zh-CN" w:bidi="ar"/>
              </w:rPr>
              <w:t>7</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F1203B">
            <w:pPr>
              <w:keepNext w:val="0"/>
              <w:keepLines w:val="0"/>
              <w:widowControl/>
              <w:suppressLineNumbers w:val="0"/>
              <w:jc w:val="both"/>
              <w:textAlignment w:val="center"/>
              <w:rPr>
                <w:rFonts w:hint="default" w:asciiTheme="majorEastAsia" w:hAnsiTheme="majorEastAsia" w:eastAsiaTheme="majorEastAsia" w:cstheme="majorEastAsia"/>
                <w:i w:val="0"/>
                <w:iCs w:val="0"/>
                <w:color w:val="auto"/>
                <w:kern w:val="0"/>
                <w:sz w:val="22"/>
                <w:szCs w:val="22"/>
                <w:u w:val="none"/>
                <w:lang w:val="en-US" w:eastAsia="zh-CN" w:bidi="ar"/>
              </w:rPr>
            </w:pPr>
            <w:r>
              <w:rPr>
                <w:rFonts w:hint="eastAsia" w:asciiTheme="majorEastAsia" w:hAnsiTheme="majorEastAsia" w:eastAsiaTheme="majorEastAsia" w:cstheme="majorEastAsia"/>
                <w:i w:val="0"/>
                <w:iCs w:val="0"/>
                <w:color w:val="auto"/>
                <w:kern w:val="0"/>
                <w:sz w:val="22"/>
                <w:szCs w:val="22"/>
                <w:u w:val="none"/>
                <w:lang w:val="en-US" w:eastAsia="zh-CN" w:bidi="ar"/>
              </w:rPr>
              <w:t>7</w:t>
            </w:r>
          </w:p>
        </w:tc>
      </w:tr>
      <w:tr w14:paraId="71B8A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86115">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AECA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项目要求</w:t>
            </w:r>
          </w:p>
        </w:tc>
        <w:tc>
          <w:tcPr>
            <w:tcW w:w="84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37650">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default" w:ascii="宋体" w:hAnsi="宋体" w:eastAsia="宋体" w:cs="宋体"/>
                <w:i w:val="0"/>
                <w:iCs w:val="0"/>
                <w:color w:val="auto"/>
                <w:sz w:val="22"/>
                <w:szCs w:val="22"/>
                <w:u w:val="none"/>
                <w:lang w:val="en-US" w:eastAsia="zh-CN"/>
              </w:rPr>
              <w:t>1、★</w:t>
            </w:r>
            <w:r>
              <w:rPr>
                <w:rFonts w:hint="eastAsia" w:ascii="宋体" w:hAnsi="宋体" w:eastAsia="宋体" w:cs="宋体"/>
                <w:i w:val="0"/>
                <w:iCs w:val="0"/>
                <w:color w:val="auto"/>
                <w:sz w:val="22"/>
                <w:szCs w:val="22"/>
                <w:u w:val="none"/>
                <w:lang w:val="en-US" w:eastAsia="zh-CN"/>
              </w:rPr>
              <w:t>杀毒软件、认证平台</w:t>
            </w:r>
            <w:r>
              <w:rPr>
                <w:rFonts w:hint="default" w:ascii="宋体" w:hAnsi="宋体" w:eastAsia="宋体" w:cs="宋体"/>
                <w:i w:val="0"/>
                <w:iCs w:val="0"/>
                <w:color w:val="auto"/>
                <w:sz w:val="22"/>
                <w:szCs w:val="22"/>
                <w:u w:val="none"/>
                <w:lang w:val="en-US" w:eastAsia="zh-CN"/>
              </w:rPr>
              <w:t>项目服务期为五年，自项目验收合格后提供五年免费</w:t>
            </w:r>
            <w:r>
              <w:rPr>
                <w:rFonts w:hint="eastAsia" w:ascii="宋体" w:hAnsi="宋体" w:eastAsia="宋体" w:cs="宋体"/>
                <w:i w:val="0"/>
                <w:iCs w:val="0"/>
                <w:color w:val="auto"/>
                <w:sz w:val="22"/>
                <w:szCs w:val="22"/>
                <w:u w:val="none"/>
                <w:lang w:val="en-US" w:eastAsia="zh-CN"/>
              </w:rPr>
              <w:t>升级、</w:t>
            </w:r>
            <w:r>
              <w:rPr>
                <w:rFonts w:hint="default" w:ascii="宋体" w:hAnsi="宋体" w:eastAsia="宋体" w:cs="宋体"/>
                <w:i w:val="0"/>
                <w:iCs w:val="0"/>
                <w:color w:val="auto"/>
                <w:sz w:val="22"/>
                <w:szCs w:val="22"/>
                <w:u w:val="none"/>
                <w:lang w:val="en-US" w:eastAsia="zh-CN"/>
              </w:rPr>
              <w:t>维护，</w:t>
            </w:r>
          </w:p>
          <w:p w14:paraId="75AD2609">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default" w:ascii="宋体" w:hAnsi="宋体" w:eastAsia="宋体" w:cs="宋体"/>
                <w:i w:val="0"/>
                <w:iCs w:val="0"/>
                <w:color w:val="auto"/>
                <w:sz w:val="22"/>
                <w:szCs w:val="22"/>
                <w:u w:val="none"/>
                <w:lang w:val="en-US" w:eastAsia="zh-CN"/>
              </w:rPr>
              <w:t>2、软件自身功能问题，提供免费永久支持(与质保期无关)；</w:t>
            </w:r>
          </w:p>
          <w:p w14:paraId="76BEC942">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3</w:t>
            </w:r>
            <w:r>
              <w:rPr>
                <w:rFonts w:hint="default" w:ascii="宋体" w:hAnsi="宋体" w:eastAsia="宋体" w:cs="宋体"/>
                <w:i w:val="0"/>
                <w:iCs w:val="0"/>
                <w:color w:val="auto"/>
                <w:sz w:val="22"/>
                <w:szCs w:val="22"/>
                <w:u w:val="none"/>
                <w:lang w:val="en-US" w:eastAsia="zh-CN"/>
              </w:rPr>
              <w:t>、★提供不低于16课时的现场培训，确保学校技术人员能够熟练掌握平台功能及使用方 法。投标时提供详细培训计划。</w:t>
            </w:r>
          </w:p>
          <w:p w14:paraId="0CA7DA10">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4</w:t>
            </w:r>
            <w:r>
              <w:rPr>
                <w:rFonts w:hint="default" w:ascii="宋体" w:hAnsi="宋体" w:eastAsia="宋体" w:cs="宋体"/>
                <w:i w:val="0"/>
                <w:iCs w:val="0"/>
                <w:color w:val="auto"/>
                <w:sz w:val="22"/>
                <w:szCs w:val="22"/>
                <w:u w:val="none"/>
                <w:lang w:val="en-US" w:eastAsia="zh-CN"/>
              </w:rPr>
              <w:t>、★售后服务期内要求提供7×24小时技术支持响应服务。在出现系统故障的30分钟内给予问题的解答，如需现场解决，在故障发生2小时内，派技术人员到达现场解决问题。</w:t>
            </w:r>
          </w:p>
          <w:p w14:paraId="027D4234">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5</w:t>
            </w:r>
            <w:r>
              <w:rPr>
                <w:rFonts w:hint="default" w:ascii="宋体" w:hAnsi="宋体" w:eastAsia="宋体" w:cs="宋体"/>
                <w:i w:val="0"/>
                <w:iCs w:val="0"/>
                <w:color w:val="auto"/>
                <w:sz w:val="22"/>
                <w:szCs w:val="22"/>
                <w:u w:val="none"/>
                <w:lang w:val="en-US" w:eastAsia="zh-CN"/>
              </w:rPr>
              <w:t>、★本项目为“交钥匙工程”,不接受任何形式的增项；</w:t>
            </w:r>
          </w:p>
          <w:p w14:paraId="2598BBA6">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6</w:t>
            </w:r>
            <w:r>
              <w:rPr>
                <w:rFonts w:hint="default" w:ascii="宋体" w:hAnsi="宋体" w:eastAsia="宋体" w:cs="宋体"/>
                <w:i w:val="0"/>
                <w:iCs w:val="0"/>
                <w:color w:val="auto"/>
                <w:sz w:val="22"/>
                <w:szCs w:val="22"/>
                <w:u w:val="none"/>
                <w:lang w:val="en-US" w:eastAsia="zh-CN"/>
              </w:rPr>
              <w:t>、所有软件系统提供学校永久使用授权；</w:t>
            </w:r>
          </w:p>
          <w:p w14:paraId="77CD32A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auto"/>
                <w:sz w:val="22"/>
                <w:szCs w:val="22"/>
                <w:u w:val="none"/>
                <w:lang w:val="en-US" w:eastAsia="zh-CN"/>
              </w:rPr>
              <w:t>7</w:t>
            </w:r>
            <w:r>
              <w:rPr>
                <w:rFonts w:hint="default" w:ascii="宋体" w:hAnsi="宋体" w:eastAsia="宋体" w:cs="宋体"/>
                <w:i w:val="0"/>
                <w:iCs w:val="0"/>
                <w:color w:val="auto"/>
                <w:sz w:val="22"/>
                <w:szCs w:val="22"/>
                <w:u w:val="none"/>
                <w:lang w:val="en-US" w:eastAsia="zh-CN"/>
              </w:rPr>
              <w:t>、支付方式：分三次支付，第一次为合同签订后支付中标价的30%，第二次为通过验收，支付中标价的</w:t>
            </w:r>
            <w:r>
              <w:rPr>
                <w:rFonts w:hint="eastAsia" w:ascii="宋体" w:hAnsi="宋体" w:eastAsia="宋体" w:cs="宋体"/>
                <w:i w:val="0"/>
                <w:iCs w:val="0"/>
                <w:color w:val="auto"/>
                <w:sz w:val="22"/>
                <w:szCs w:val="22"/>
                <w:u w:val="none"/>
                <w:lang w:val="en-US" w:eastAsia="zh-CN"/>
              </w:rPr>
              <w:t>7</w:t>
            </w:r>
            <w:r>
              <w:rPr>
                <w:rFonts w:hint="default" w:ascii="宋体" w:hAnsi="宋体" w:eastAsia="宋体" w:cs="宋体"/>
                <w:i w:val="0"/>
                <w:iCs w:val="0"/>
                <w:color w:val="auto"/>
                <w:sz w:val="22"/>
                <w:szCs w:val="22"/>
                <w:u w:val="none"/>
                <w:lang w:val="en-US" w:eastAsia="zh-CN"/>
              </w:rPr>
              <w:t>0%。</w:t>
            </w:r>
          </w:p>
          <w:p w14:paraId="1DBA9AEF">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8、采购的杀毒软件需要与天融信防火墙、深信服防火墙、入侵检测、态势感知，任意一个系统对接，实现联动杀毒；</w:t>
            </w:r>
          </w:p>
          <w:p w14:paraId="78347547">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9</w:t>
            </w:r>
            <w:r>
              <w:rPr>
                <w:rFonts w:hint="default" w:ascii="宋体" w:hAnsi="宋体" w:eastAsia="宋体" w:cs="宋体"/>
                <w:i w:val="0"/>
                <w:iCs w:val="0"/>
                <w:color w:val="auto"/>
                <w:sz w:val="22"/>
                <w:szCs w:val="22"/>
                <w:u w:val="none"/>
                <w:lang w:val="en-US" w:eastAsia="zh-CN"/>
              </w:rPr>
              <w:t>、所有“▲”号</w:t>
            </w:r>
            <w:r>
              <w:rPr>
                <w:rFonts w:hint="eastAsia" w:ascii="宋体" w:hAnsi="宋体" w:eastAsia="宋体" w:cs="宋体"/>
                <w:i w:val="0"/>
                <w:iCs w:val="0"/>
                <w:color w:val="auto"/>
                <w:sz w:val="22"/>
                <w:szCs w:val="22"/>
                <w:u w:val="none"/>
                <w:lang w:val="en-US" w:eastAsia="zh-CN"/>
              </w:rPr>
              <w:t>（除特殊要求项）</w:t>
            </w:r>
            <w:r>
              <w:rPr>
                <w:rFonts w:hint="default" w:ascii="宋体" w:hAnsi="宋体" w:eastAsia="宋体" w:cs="宋体"/>
                <w:i w:val="0"/>
                <w:iCs w:val="0"/>
                <w:color w:val="auto"/>
                <w:sz w:val="22"/>
                <w:szCs w:val="22"/>
                <w:u w:val="none"/>
                <w:lang w:val="en-US" w:eastAsia="zh-CN"/>
              </w:rPr>
              <w:t>项，需提供平台的对应的功能截图加盖投标人公章；</w:t>
            </w:r>
          </w:p>
          <w:p w14:paraId="6BBDEC35">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10</w:t>
            </w:r>
            <w:r>
              <w:rPr>
                <w:rFonts w:hint="default" w:ascii="宋体" w:hAnsi="宋体" w:eastAsia="宋体" w:cs="宋体"/>
                <w:i w:val="0"/>
                <w:iCs w:val="0"/>
                <w:color w:val="auto"/>
                <w:sz w:val="22"/>
                <w:szCs w:val="22"/>
                <w:u w:val="none"/>
                <w:lang w:val="en-US" w:eastAsia="zh-CN"/>
              </w:rPr>
              <w:t>、所有“★”号</w:t>
            </w:r>
            <w:r>
              <w:rPr>
                <w:rFonts w:hint="eastAsia" w:ascii="宋体" w:hAnsi="宋体" w:eastAsia="宋体" w:cs="宋体"/>
                <w:i w:val="0"/>
                <w:iCs w:val="0"/>
                <w:color w:val="auto"/>
                <w:sz w:val="22"/>
                <w:szCs w:val="22"/>
                <w:u w:val="none"/>
                <w:lang w:val="en-US" w:eastAsia="zh-CN"/>
              </w:rPr>
              <w:t>（除特殊要求项）</w:t>
            </w:r>
            <w:r>
              <w:rPr>
                <w:rFonts w:hint="default" w:ascii="宋体" w:hAnsi="宋体" w:eastAsia="宋体" w:cs="宋体"/>
                <w:i w:val="0"/>
                <w:iCs w:val="0"/>
                <w:color w:val="auto"/>
                <w:sz w:val="22"/>
                <w:szCs w:val="22"/>
                <w:u w:val="none"/>
                <w:lang w:val="en-US" w:eastAsia="zh-CN"/>
              </w:rPr>
              <w:t>项，需投标人提供加盖投标人公章的承诺书。</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7E2E3">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套</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B828F">
            <w:pPr>
              <w:keepNext w:val="0"/>
              <w:keepLines w:val="0"/>
              <w:widowControl/>
              <w:suppressLineNumbers w:val="0"/>
              <w:jc w:val="both"/>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4D6A5">
            <w:pPr>
              <w:keepNext w:val="0"/>
              <w:keepLines w:val="0"/>
              <w:widowControl/>
              <w:suppressLineNumbers w:val="0"/>
              <w:jc w:val="both"/>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CD5CAA">
            <w:pPr>
              <w:keepNext w:val="0"/>
              <w:keepLines w:val="0"/>
              <w:widowControl/>
              <w:suppressLineNumbers w:val="0"/>
              <w:jc w:val="both"/>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w:t>
            </w:r>
          </w:p>
        </w:tc>
      </w:tr>
      <w:tr w14:paraId="63033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9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E5BC3">
            <w:pPr>
              <w:jc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合计</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F7F00">
            <w:pP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30</w:t>
            </w:r>
          </w:p>
        </w:tc>
      </w:tr>
    </w:tbl>
    <w:p w14:paraId="2903C504">
      <w:pPr>
        <w:rPr>
          <w:b/>
          <w:bCs/>
        </w:rPr>
      </w:pP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AD3E10">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A5E1B0">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AA5E1B0">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DB2135"/>
    <w:multiLevelType w:val="singleLevel"/>
    <w:tmpl w:val="C5DB2135"/>
    <w:lvl w:ilvl="0" w:tentative="0">
      <w:start w:val="1"/>
      <w:numFmt w:val="decimal"/>
      <w:suff w:val="nothing"/>
      <w:lvlText w:val="%1、"/>
      <w:lvlJc w:val="left"/>
    </w:lvl>
  </w:abstractNum>
  <w:abstractNum w:abstractNumId="1">
    <w:nsid w:val="D7FEB698"/>
    <w:multiLevelType w:val="singleLevel"/>
    <w:tmpl w:val="D7FEB698"/>
    <w:lvl w:ilvl="0" w:tentative="0">
      <w:start w:val="1"/>
      <w:numFmt w:val="decimal"/>
      <w:suff w:val="nothing"/>
      <w:lvlText w:val="%1、"/>
      <w:lvlJc w:val="left"/>
    </w:lvl>
  </w:abstractNum>
  <w:abstractNum w:abstractNumId="2">
    <w:nsid w:val="FBBA474F"/>
    <w:multiLevelType w:val="singleLevel"/>
    <w:tmpl w:val="FBBA474F"/>
    <w:lvl w:ilvl="0" w:tentative="0">
      <w:start w:val="1"/>
      <w:numFmt w:val="decimal"/>
      <w:suff w:val="nothing"/>
      <w:lvlText w:val="%1、"/>
      <w:lvlJc w:val="left"/>
    </w:lvl>
  </w:abstractNum>
  <w:abstractNum w:abstractNumId="3">
    <w:nsid w:val="FBF9E826"/>
    <w:multiLevelType w:val="singleLevel"/>
    <w:tmpl w:val="FBF9E826"/>
    <w:lvl w:ilvl="0" w:tentative="0">
      <w:start w:val="1"/>
      <w:numFmt w:val="chineseCounting"/>
      <w:suff w:val="nothing"/>
      <w:lvlText w:val="（%1）"/>
      <w:lvlJc w:val="left"/>
      <w:rPr>
        <w:rFonts w:hint="eastAsia"/>
      </w:rPr>
    </w:lvl>
  </w:abstractNum>
  <w:abstractNum w:abstractNumId="4">
    <w:nsid w:val="FDE7FB31"/>
    <w:multiLevelType w:val="singleLevel"/>
    <w:tmpl w:val="FDE7FB31"/>
    <w:lvl w:ilvl="0" w:tentative="0">
      <w:start w:val="1"/>
      <w:numFmt w:val="decimal"/>
      <w:suff w:val="nothing"/>
      <w:lvlText w:val="%1、"/>
      <w:lvlJc w:val="left"/>
    </w:lvl>
  </w:abstractNum>
  <w:abstractNum w:abstractNumId="5">
    <w:nsid w:val="FDEDCA54"/>
    <w:multiLevelType w:val="singleLevel"/>
    <w:tmpl w:val="FDEDCA54"/>
    <w:lvl w:ilvl="0" w:tentative="0">
      <w:start w:val="1"/>
      <w:numFmt w:val="chineseCounting"/>
      <w:suff w:val="nothing"/>
      <w:lvlText w:val="%1、"/>
      <w:lvlJc w:val="left"/>
      <w:rPr>
        <w:rFonts w:hint="eastAsia"/>
      </w:rPr>
    </w:lvl>
  </w:abstractNum>
  <w:abstractNum w:abstractNumId="6">
    <w:nsid w:val="FFFC358B"/>
    <w:multiLevelType w:val="singleLevel"/>
    <w:tmpl w:val="FFFC358B"/>
    <w:lvl w:ilvl="0" w:tentative="0">
      <w:start w:val="1"/>
      <w:numFmt w:val="decimal"/>
      <w:suff w:val="nothing"/>
      <w:lvlText w:val="%1、"/>
      <w:lvlJc w:val="left"/>
    </w:lvl>
  </w:abstractNum>
  <w:abstractNum w:abstractNumId="7">
    <w:nsid w:val="794B00C1"/>
    <w:multiLevelType w:val="singleLevel"/>
    <w:tmpl w:val="794B00C1"/>
    <w:lvl w:ilvl="0" w:tentative="0">
      <w:start w:val="1"/>
      <w:numFmt w:val="decimal"/>
      <w:pStyle w:val="7"/>
      <w:suff w:val="nothing"/>
      <w:lvlText w:val="%1、"/>
      <w:lvlJc w:val="left"/>
    </w:lvl>
  </w:abstractNum>
  <w:num w:numId="1">
    <w:abstractNumId w:val="7"/>
  </w:num>
  <w:num w:numId="2">
    <w:abstractNumId w:val="5"/>
  </w:num>
  <w:num w:numId="3">
    <w:abstractNumId w:val="3"/>
  </w:num>
  <w:num w:numId="4">
    <w:abstractNumId w:val="2"/>
  </w:num>
  <w:num w:numId="5">
    <w:abstractNumId w:val="0"/>
  </w:num>
  <w:num w:numId="6">
    <w:abstractNumId w:val="1"/>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0NTk0ZDE0NmYwZDYwYzM0NGM0M2RhMDM1MmNiZDcifQ=="/>
  </w:docVars>
  <w:rsids>
    <w:rsidRoot w:val="00172A27"/>
    <w:rsid w:val="002761FD"/>
    <w:rsid w:val="00B22BA0"/>
    <w:rsid w:val="00B60861"/>
    <w:rsid w:val="01112232"/>
    <w:rsid w:val="01DB4839"/>
    <w:rsid w:val="027619AC"/>
    <w:rsid w:val="02A449D6"/>
    <w:rsid w:val="02B640B5"/>
    <w:rsid w:val="03574D11"/>
    <w:rsid w:val="03C12F1A"/>
    <w:rsid w:val="049331A0"/>
    <w:rsid w:val="04F939ED"/>
    <w:rsid w:val="05CD4925"/>
    <w:rsid w:val="060A1391"/>
    <w:rsid w:val="069C40D7"/>
    <w:rsid w:val="07660241"/>
    <w:rsid w:val="077C1812"/>
    <w:rsid w:val="07816F53"/>
    <w:rsid w:val="07BE2BC2"/>
    <w:rsid w:val="07F046C2"/>
    <w:rsid w:val="08332819"/>
    <w:rsid w:val="08ED77B9"/>
    <w:rsid w:val="09A41850"/>
    <w:rsid w:val="09C474A0"/>
    <w:rsid w:val="0A7E173E"/>
    <w:rsid w:val="0A957C89"/>
    <w:rsid w:val="0B4E5960"/>
    <w:rsid w:val="0DC57B21"/>
    <w:rsid w:val="0E146C48"/>
    <w:rsid w:val="0E1C10F3"/>
    <w:rsid w:val="0E4B1F3E"/>
    <w:rsid w:val="0EE26D46"/>
    <w:rsid w:val="0EF10E0A"/>
    <w:rsid w:val="0F5F5CA1"/>
    <w:rsid w:val="0F9C5147"/>
    <w:rsid w:val="0FFF683C"/>
    <w:rsid w:val="106722AF"/>
    <w:rsid w:val="10E6116F"/>
    <w:rsid w:val="11F639A5"/>
    <w:rsid w:val="123D76A1"/>
    <w:rsid w:val="128756CC"/>
    <w:rsid w:val="12B66520"/>
    <w:rsid w:val="12C034B5"/>
    <w:rsid w:val="13336CBB"/>
    <w:rsid w:val="14B4643E"/>
    <w:rsid w:val="175E7186"/>
    <w:rsid w:val="17C13776"/>
    <w:rsid w:val="17C36FE9"/>
    <w:rsid w:val="17FF787C"/>
    <w:rsid w:val="19BC4967"/>
    <w:rsid w:val="1BDAE1BC"/>
    <w:rsid w:val="1C6D34E4"/>
    <w:rsid w:val="1CB83BC9"/>
    <w:rsid w:val="1CF36184"/>
    <w:rsid w:val="1D914BDC"/>
    <w:rsid w:val="1DDF6A8C"/>
    <w:rsid w:val="1E0F2EDF"/>
    <w:rsid w:val="1E114F52"/>
    <w:rsid w:val="1E6A6411"/>
    <w:rsid w:val="1E7FB106"/>
    <w:rsid w:val="1EEE2B9E"/>
    <w:rsid w:val="1EFBE28B"/>
    <w:rsid w:val="1F3C6B0E"/>
    <w:rsid w:val="1F5F2BFE"/>
    <w:rsid w:val="201A14FA"/>
    <w:rsid w:val="2237670C"/>
    <w:rsid w:val="2244509F"/>
    <w:rsid w:val="23287C6F"/>
    <w:rsid w:val="235C54BC"/>
    <w:rsid w:val="23CE43D4"/>
    <w:rsid w:val="2460453E"/>
    <w:rsid w:val="24A02B8C"/>
    <w:rsid w:val="25A06B6D"/>
    <w:rsid w:val="269009DE"/>
    <w:rsid w:val="27204FD0"/>
    <w:rsid w:val="27F71CB6"/>
    <w:rsid w:val="281C343F"/>
    <w:rsid w:val="288C4E31"/>
    <w:rsid w:val="2A455ED8"/>
    <w:rsid w:val="2A486993"/>
    <w:rsid w:val="2AA0747E"/>
    <w:rsid w:val="2AED163D"/>
    <w:rsid w:val="2D1B5392"/>
    <w:rsid w:val="30126E6F"/>
    <w:rsid w:val="303D4A56"/>
    <w:rsid w:val="30510B6D"/>
    <w:rsid w:val="307C226C"/>
    <w:rsid w:val="31505F30"/>
    <w:rsid w:val="31BA2D14"/>
    <w:rsid w:val="3267352A"/>
    <w:rsid w:val="32E314B9"/>
    <w:rsid w:val="337E22EA"/>
    <w:rsid w:val="33FFF490"/>
    <w:rsid w:val="34627E5E"/>
    <w:rsid w:val="34D4418C"/>
    <w:rsid w:val="34F33640"/>
    <w:rsid w:val="35625A6E"/>
    <w:rsid w:val="35B73253"/>
    <w:rsid w:val="35FDC636"/>
    <w:rsid w:val="360004D5"/>
    <w:rsid w:val="36184544"/>
    <w:rsid w:val="37226BA4"/>
    <w:rsid w:val="37397F6D"/>
    <w:rsid w:val="37D24F8A"/>
    <w:rsid w:val="37F4828A"/>
    <w:rsid w:val="38226FBF"/>
    <w:rsid w:val="38795008"/>
    <w:rsid w:val="394418E0"/>
    <w:rsid w:val="39DF40C0"/>
    <w:rsid w:val="3A535BD5"/>
    <w:rsid w:val="3B246B7D"/>
    <w:rsid w:val="3B28228C"/>
    <w:rsid w:val="3B5748A0"/>
    <w:rsid w:val="3B7D5A6F"/>
    <w:rsid w:val="3B8722D8"/>
    <w:rsid w:val="3B9C62C3"/>
    <w:rsid w:val="3BB06BEF"/>
    <w:rsid w:val="3BC34DC5"/>
    <w:rsid w:val="3BCC0CBE"/>
    <w:rsid w:val="3C674DB9"/>
    <w:rsid w:val="3CB02AE7"/>
    <w:rsid w:val="3CEC457D"/>
    <w:rsid w:val="3D6B030F"/>
    <w:rsid w:val="3DFEC065"/>
    <w:rsid w:val="3E084727"/>
    <w:rsid w:val="3E4E6EA5"/>
    <w:rsid w:val="3E9953C5"/>
    <w:rsid w:val="3F0A409C"/>
    <w:rsid w:val="3F2BA54C"/>
    <w:rsid w:val="3F7FFC1E"/>
    <w:rsid w:val="406960D0"/>
    <w:rsid w:val="40C12E61"/>
    <w:rsid w:val="40E87E13"/>
    <w:rsid w:val="42477EE2"/>
    <w:rsid w:val="42884BB0"/>
    <w:rsid w:val="431866BA"/>
    <w:rsid w:val="44587313"/>
    <w:rsid w:val="445D2DE2"/>
    <w:rsid w:val="44F52628"/>
    <w:rsid w:val="452D127B"/>
    <w:rsid w:val="453C6741"/>
    <w:rsid w:val="468D3B61"/>
    <w:rsid w:val="46BB07EA"/>
    <w:rsid w:val="46DF3663"/>
    <w:rsid w:val="474223FA"/>
    <w:rsid w:val="475221AE"/>
    <w:rsid w:val="477B4A45"/>
    <w:rsid w:val="48653621"/>
    <w:rsid w:val="49E35BDA"/>
    <w:rsid w:val="49EF3AEA"/>
    <w:rsid w:val="49F47A9B"/>
    <w:rsid w:val="4A8463D1"/>
    <w:rsid w:val="4ACC7DBB"/>
    <w:rsid w:val="4C1E06B7"/>
    <w:rsid w:val="4C8026C1"/>
    <w:rsid w:val="4CA44FAD"/>
    <w:rsid w:val="4CC85938"/>
    <w:rsid w:val="4D8F36A4"/>
    <w:rsid w:val="4DCF7EBB"/>
    <w:rsid w:val="4E231FB4"/>
    <w:rsid w:val="4E5A23EF"/>
    <w:rsid w:val="4EDC5C73"/>
    <w:rsid w:val="4F267465"/>
    <w:rsid w:val="4FE7766A"/>
    <w:rsid w:val="508D1967"/>
    <w:rsid w:val="51476240"/>
    <w:rsid w:val="52361217"/>
    <w:rsid w:val="52495E32"/>
    <w:rsid w:val="526D37FE"/>
    <w:rsid w:val="53E66C1A"/>
    <w:rsid w:val="54481AB1"/>
    <w:rsid w:val="555B066D"/>
    <w:rsid w:val="55884D60"/>
    <w:rsid w:val="56AB3A5E"/>
    <w:rsid w:val="5756517D"/>
    <w:rsid w:val="575C1F96"/>
    <w:rsid w:val="577FD19F"/>
    <w:rsid w:val="587A0A23"/>
    <w:rsid w:val="59376DAF"/>
    <w:rsid w:val="5ACE4740"/>
    <w:rsid w:val="5B5A4B3C"/>
    <w:rsid w:val="5BC8419B"/>
    <w:rsid w:val="5BFF6A6A"/>
    <w:rsid w:val="5C0D0E3A"/>
    <w:rsid w:val="5E217FB4"/>
    <w:rsid w:val="5E3E10B3"/>
    <w:rsid w:val="5E7EA365"/>
    <w:rsid w:val="5E8C14B0"/>
    <w:rsid w:val="5F3062DF"/>
    <w:rsid w:val="5F657C6E"/>
    <w:rsid w:val="5F892770"/>
    <w:rsid w:val="5FC6D479"/>
    <w:rsid w:val="5FFDE6A0"/>
    <w:rsid w:val="613E6D98"/>
    <w:rsid w:val="617D38F3"/>
    <w:rsid w:val="63863C7C"/>
    <w:rsid w:val="63C02A6D"/>
    <w:rsid w:val="63CE6EFC"/>
    <w:rsid w:val="63E34A64"/>
    <w:rsid w:val="63FF934C"/>
    <w:rsid w:val="64FDBD8C"/>
    <w:rsid w:val="657038D9"/>
    <w:rsid w:val="65CD34DC"/>
    <w:rsid w:val="66031ADD"/>
    <w:rsid w:val="666E2AF9"/>
    <w:rsid w:val="66BD4AEC"/>
    <w:rsid w:val="66CF54B5"/>
    <w:rsid w:val="66D57E6B"/>
    <w:rsid w:val="6716225F"/>
    <w:rsid w:val="675D7E8D"/>
    <w:rsid w:val="67B9696F"/>
    <w:rsid w:val="697F2C0E"/>
    <w:rsid w:val="699346E7"/>
    <w:rsid w:val="6B6FD60E"/>
    <w:rsid w:val="6BC71D79"/>
    <w:rsid w:val="6BDB0645"/>
    <w:rsid w:val="6D3C3922"/>
    <w:rsid w:val="6DA77DB7"/>
    <w:rsid w:val="6DEA61F3"/>
    <w:rsid w:val="6DF69233"/>
    <w:rsid w:val="6EAD10F9"/>
    <w:rsid w:val="6EF6784D"/>
    <w:rsid w:val="6F7D5FCC"/>
    <w:rsid w:val="6F7ECF1F"/>
    <w:rsid w:val="6FFB5795"/>
    <w:rsid w:val="6FFFA3E2"/>
    <w:rsid w:val="70131C90"/>
    <w:rsid w:val="703A096B"/>
    <w:rsid w:val="70983E9E"/>
    <w:rsid w:val="71C80A26"/>
    <w:rsid w:val="71EA7813"/>
    <w:rsid w:val="728C6641"/>
    <w:rsid w:val="72FB81FD"/>
    <w:rsid w:val="7309711B"/>
    <w:rsid w:val="73DDAD48"/>
    <w:rsid w:val="73EA43BF"/>
    <w:rsid w:val="740864BC"/>
    <w:rsid w:val="745D771F"/>
    <w:rsid w:val="74C60DF2"/>
    <w:rsid w:val="75BB8D17"/>
    <w:rsid w:val="75BFE812"/>
    <w:rsid w:val="75EF5122"/>
    <w:rsid w:val="76DFAFFE"/>
    <w:rsid w:val="76E76C9F"/>
    <w:rsid w:val="77453882"/>
    <w:rsid w:val="77B51CFA"/>
    <w:rsid w:val="77DF0899"/>
    <w:rsid w:val="780F4F04"/>
    <w:rsid w:val="782118CB"/>
    <w:rsid w:val="78914753"/>
    <w:rsid w:val="78932CE1"/>
    <w:rsid w:val="78A23447"/>
    <w:rsid w:val="791717F8"/>
    <w:rsid w:val="794E12A4"/>
    <w:rsid w:val="79FA77BE"/>
    <w:rsid w:val="7A7F831A"/>
    <w:rsid w:val="7BAF227D"/>
    <w:rsid w:val="7BC33D8E"/>
    <w:rsid w:val="7CCD6E0D"/>
    <w:rsid w:val="7CFF6E60"/>
    <w:rsid w:val="7D074BEF"/>
    <w:rsid w:val="7D2471D3"/>
    <w:rsid w:val="7DAC7010"/>
    <w:rsid w:val="7DAEDF74"/>
    <w:rsid w:val="7DFFA6D3"/>
    <w:rsid w:val="7E3B60A6"/>
    <w:rsid w:val="7E3E2F41"/>
    <w:rsid w:val="7EA056BB"/>
    <w:rsid w:val="7EB42631"/>
    <w:rsid w:val="7ED042F5"/>
    <w:rsid w:val="7EDBC111"/>
    <w:rsid w:val="7EF0B1D2"/>
    <w:rsid w:val="7F37F8EC"/>
    <w:rsid w:val="7F5C63A8"/>
    <w:rsid w:val="7F7FA40C"/>
    <w:rsid w:val="7FD87E3A"/>
    <w:rsid w:val="7FDF2056"/>
    <w:rsid w:val="7FEF5F4B"/>
    <w:rsid w:val="7FEFBCCA"/>
    <w:rsid w:val="7FF3364E"/>
    <w:rsid w:val="7FF658F0"/>
    <w:rsid w:val="85FB0029"/>
    <w:rsid w:val="9F5E9FF9"/>
    <w:rsid w:val="9FFE078C"/>
    <w:rsid w:val="A7EA4AAD"/>
    <w:rsid w:val="ABCF211B"/>
    <w:rsid w:val="AD7FC8D7"/>
    <w:rsid w:val="AFFF8EE2"/>
    <w:rsid w:val="B2FEE161"/>
    <w:rsid w:val="B3FB3F19"/>
    <w:rsid w:val="B91D377F"/>
    <w:rsid w:val="BB37E42A"/>
    <w:rsid w:val="BBBE754F"/>
    <w:rsid w:val="BBD35761"/>
    <w:rsid w:val="BC1777DA"/>
    <w:rsid w:val="BDB1994D"/>
    <w:rsid w:val="BDEE9DDB"/>
    <w:rsid w:val="BE72A20F"/>
    <w:rsid w:val="BEE5F98D"/>
    <w:rsid w:val="BFE5BA4F"/>
    <w:rsid w:val="BFE7461B"/>
    <w:rsid w:val="C7FE2DFF"/>
    <w:rsid w:val="C9DFADFD"/>
    <w:rsid w:val="CE98F67A"/>
    <w:rsid w:val="D66EC72E"/>
    <w:rsid w:val="D7AF5D9C"/>
    <w:rsid w:val="D7EE2DE0"/>
    <w:rsid w:val="D7F3424D"/>
    <w:rsid w:val="D9FB394B"/>
    <w:rsid w:val="DDBB45DC"/>
    <w:rsid w:val="DF7D8764"/>
    <w:rsid w:val="DF7E0BB9"/>
    <w:rsid w:val="DFBFC901"/>
    <w:rsid w:val="DFCF5035"/>
    <w:rsid w:val="DFD712F8"/>
    <w:rsid w:val="DFEE1F6F"/>
    <w:rsid w:val="DFFDEC49"/>
    <w:rsid w:val="EB1758D3"/>
    <w:rsid w:val="EBFD362C"/>
    <w:rsid w:val="ECFBE6CE"/>
    <w:rsid w:val="EE9DB485"/>
    <w:rsid w:val="EEB98986"/>
    <w:rsid w:val="EF55DDDD"/>
    <w:rsid w:val="EFE5D05D"/>
    <w:rsid w:val="EFEDF833"/>
    <w:rsid w:val="EFF7D4C5"/>
    <w:rsid w:val="EFFB36F8"/>
    <w:rsid w:val="F0EAB887"/>
    <w:rsid w:val="F2DD1774"/>
    <w:rsid w:val="F3FF6AA5"/>
    <w:rsid w:val="F76FB531"/>
    <w:rsid w:val="F77D6440"/>
    <w:rsid w:val="F7D537E5"/>
    <w:rsid w:val="F7F53609"/>
    <w:rsid w:val="F7FF678E"/>
    <w:rsid w:val="FA6E5514"/>
    <w:rsid w:val="FB7C67B6"/>
    <w:rsid w:val="FBB540C3"/>
    <w:rsid w:val="FBBF885A"/>
    <w:rsid w:val="FBEFA40A"/>
    <w:rsid w:val="FBFF9EE1"/>
    <w:rsid w:val="FCD62151"/>
    <w:rsid w:val="FD4FC72F"/>
    <w:rsid w:val="FD7F82BE"/>
    <w:rsid w:val="FDDF0D67"/>
    <w:rsid w:val="FDF8DBD6"/>
    <w:rsid w:val="FDFE0345"/>
    <w:rsid w:val="FEAFB064"/>
    <w:rsid w:val="FF3B9BCE"/>
    <w:rsid w:val="FF770868"/>
    <w:rsid w:val="FF8F3534"/>
    <w:rsid w:val="FFD37A8D"/>
    <w:rsid w:val="FFDF9323"/>
    <w:rsid w:val="FFEF0AFB"/>
    <w:rsid w:val="FFF32C68"/>
    <w:rsid w:val="FFF5120A"/>
    <w:rsid w:val="FFF76E3E"/>
    <w:rsid w:val="FFF78CB8"/>
    <w:rsid w:val="FFF87112"/>
    <w:rsid w:val="FFF984A7"/>
    <w:rsid w:val="FFFE502C"/>
    <w:rsid w:val="FFFF4503"/>
    <w:rsid w:val="FFFFC3A2"/>
    <w:rsid w:val="FFFFD8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0"/>
    <w:pPr>
      <w:autoSpaceDE w:val="0"/>
      <w:autoSpaceDN w:val="0"/>
    </w:pPr>
    <w:rPr>
      <w:rFonts w:ascii="宋体" w:hAnsi="Arial" w:cs="Arial"/>
      <w:snapToGrid w:val="0"/>
      <w:szCs w:val="21"/>
      <w:lang w:val="zh-CN"/>
    </w:rPr>
  </w:style>
  <w:style w:type="paragraph" w:styleId="4">
    <w:name w:val="Body Text Indent"/>
    <w:basedOn w:val="1"/>
    <w:qFormat/>
    <w:uiPriority w:val="0"/>
    <w:pPr>
      <w:widowControl/>
      <w:topLinePunct/>
      <w:adjustRightInd w:val="0"/>
      <w:spacing w:before="160" w:after="120" w:line="240" w:lineRule="atLeast"/>
      <w:ind w:left="420" w:leftChars="200" w:firstLine="0" w:firstLineChars="0"/>
      <w:jc w:val="left"/>
    </w:pPr>
    <w:rPr>
      <w:rFonts w:ascii="Times New Roman" w:hAnsi="Times New Roman" w:eastAsia="宋体" w:cs="Arial"/>
      <w:sz w:val="21"/>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w:basedOn w:val="3"/>
    <w:qFormat/>
    <w:uiPriority w:val="0"/>
    <w:pPr>
      <w:numPr>
        <w:ilvl w:val="0"/>
        <w:numId w:val="1"/>
      </w:numPr>
      <w:ind w:firstLine="420"/>
    </w:pPr>
    <w:rPr>
      <w:rFonts w:hAnsi="Times New Roman" w:cs="Times New Roman"/>
      <w:szCs w:val="20"/>
    </w:rPr>
  </w:style>
  <w:style w:type="paragraph" w:styleId="8">
    <w:name w:val="Body Text First Indent 2"/>
    <w:basedOn w:val="4"/>
    <w:qFormat/>
    <w:uiPriority w:val="0"/>
    <w:pPr>
      <w:ind w:firstLine="420" w:firstLineChars="200"/>
    </w:pPr>
  </w:style>
  <w:style w:type="character" w:customStyle="1" w:styleId="11">
    <w:name w:val="font21"/>
    <w:basedOn w:val="10"/>
    <w:qFormat/>
    <w:uiPriority w:val="0"/>
    <w:rPr>
      <w:rFonts w:hint="eastAsia" w:ascii="宋体" w:hAnsi="宋体" w:eastAsia="宋体" w:cs="宋体"/>
      <w:b/>
      <w:bCs/>
      <w:color w:val="000000"/>
      <w:sz w:val="22"/>
      <w:szCs w:val="22"/>
      <w:u w:val="none"/>
    </w:rPr>
  </w:style>
  <w:style w:type="character" w:customStyle="1" w:styleId="12">
    <w:name w:val="font11"/>
    <w:basedOn w:val="10"/>
    <w:qFormat/>
    <w:uiPriority w:val="0"/>
    <w:rPr>
      <w:rFonts w:hint="eastAsia" w:ascii="宋体" w:hAnsi="宋体" w:eastAsia="宋体" w:cs="宋体"/>
      <w:color w:val="000000"/>
      <w:sz w:val="22"/>
      <w:szCs w:val="22"/>
      <w:u w:val="none"/>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3508</Words>
  <Characters>3827</Characters>
  <Lines>0</Lines>
  <Paragraphs>0</Paragraphs>
  <TotalTime>8</TotalTime>
  <ScaleCrop>false</ScaleCrop>
  <LinksUpToDate>false</LinksUpToDate>
  <CharactersWithSpaces>3843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2024-05-28T07:50:00Z</dcterms:created>
  <dc:creator>唐66866</dc:creator>
  <cp:lastModifiedBy>唐66866</cp:lastModifiedBy>
  <cp:lastPrinted>2025-08-28T08:52:52Z</cp:lastPrinted>
  <dcterms:modified xsi:type="dcterms:W3CDTF">2025-08-28T09:01:07Z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E4B4224842636BE74781AA68C8475F92_43</vt:lpwstr>
  </property>
  <property fmtid="{D5CDD505-2E9C-101B-9397-08002B2CF9AE}" pid="4" name="KSOTemplateDocerSaveRecord">
    <vt:lpwstr>eyJoZGlkIjoiOTk3ZTRiODAwMzI1YjgxODJkYjkzMGY1NDBjY2JkODgiLCJ1c2VySWQiOiI0NjQxOTgwOTcifQ==</vt:lpwstr>
  </property>
</Properties>
</file>